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1C157BED">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AD7374">
        <w:t>satisfaction:</w:t>
      </w:r>
    </w:p>
    <w:p w:rsidR="00AD7374" w:rsidRPr="00AD7374" w:rsidP="00AD7374" w14:paraId="04B881F1" w14:textId="77777777">
      <w:pPr>
        <w:pStyle w:val="ListParagraph"/>
        <w:jc w:val="both"/>
        <w:rPr>
          <w:b/>
          <w:bCs/>
        </w:rPr>
      </w:pPr>
    </w:p>
    <w:p w:rsidR="00102583" w:rsidRPr="00102583" w:rsidP="00CB5A0C" w14:paraId="13EB451D" w14:textId="39CDA978">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 xml:space="preserve">”) </w:t>
      </w:r>
      <w:r>
        <w:t>containing:</w:t>
      </w:r>
    </w:p>
    <w:p w:rsidR="00102583" w:rsidRPr="00102583" w:rsidP="00102583" w14:paraId="4B6B4E56" w14:textId="77777777">
      <w:pPr>
        <w:pStyle w:val="ListParagraph"/>
        <w:ind w:left="1440"/>
        <w:jc w:val="both"/>
        <w:rPr>
          <w:b/>
          <w:bCs/>
        </w:rPr>
      </w:pPr>
    </w:p>
    <w:p w:rsidR="00AF547C" w:rsidRPr="00BD5141" w:rsidP="00CB5A0C" w14:paraId="3B808E33" w14:textId="220D7ED1">
      <w:pPr>
        <w:pStyle w:val="ListParagraph"/>
        <w:numPr>
          <w:ilvl w:val="2"/>
          <w:numId w:val="13"/>
        </w:numPr>
        <w:ind w:left="0" w:firstLine="2160"/>
        <w:jc w:val="both"/>
        <w:rPr>
          <w:b/>
          <w:bCs/>
        </w:rPr>
      </w:pPr>
      <w:r>
        <w:t xml:space="preserve">a </w:t>
      </w:r>
      <w:r w:rsidR="00BD5C2F">
        <w:t xml:space="preserve">list of all </w:t>
      </w:r>
      <w:r w:rsidRPr="00986C65" w:rsidR="00986C65">
        <w:t xml:space="preserve">Governmental Authorizations required for the </w:t>
      </w:r>
      <w:r w:rsidR="00986C65">
        <w:t>Landfill</w:t>
      </w:r>
      <w:r w:rsidR="00102583">
        <w:t xml:space="preserve"> (collectively, the “</w:t>
      </w:r>
      <w:r w:rsidRPr="00102583" w:rsidR="00102583">
        <w:rPr>
          <w:b/>
          <w:bCs/>
        </w:rPr>
        <w:t>Required Authorizations</w:t>
      </w:r>
      <w:r w:rsidR="00102583">
        <w:t>”)</w:t>
      </w:r>
      <w:r w:rsidRPr="00986C65" w:rsidR="00986C65">
        <w:t>, and a schedule indicating when each such item is to be obtained;</w:t>
      </w:r>
    </w:p>
    <w:p w:rsidR="00BD5141" w:rsidRPr="00BD5141" w:rsidP="00BD5141" w14:paraId="7AC6CD32" w14:textId="1B883946">
      <w:pPr>
        <w:pStyle w:val="ListParagraph"/>
        <w:ind w:left="2160"/>
        <w:jc w:val="both"/>
        <w:rPr>
          <w:b/>
          <w:bCs/>
        </w:rPr>
      </w:pPr>
    </w:p>
    <w:p w:rsidR="00BD5141" w:rsidRPr="00BD5141" w:rsidP="00CB5A0C" w14:paraId="40AC0375" w14:textId="11E49D72">
      <w:pPr>
        <w:pStyle w:val="ListParagraph"/>
        <w:numPr>
          <w:ilvl w:val="2"/>
          <w:numId w:val="13"/>
        </w:numPr>
        <w:ind w:left="0" w:firstLine="2160"/>
        <w:jc w:val="both"/>
        <w:rPr>
          <w:b/>
          <w:bCs/>
        </w:rPr>
      </w:pPr>
      <w:r>
        <w:t xml:space="preserve">a list of all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BD5141" w:rsidP="00BD5141" w14:paraId="465A8668" w14:textId="77777777">
      <w:pPr>
        <w:pStyle w:val="ListParagraph"/>
        <w:rPr>
          <w:b/>
          <w:bCs/>
        </w:rPr>
      </w:pPr>
    </w:p>
    <w:p w:rsidR="00BD5141" w:rsidRPr="00BD5141" w:rsidP="00CB5A0C" w14:paraId="428A1528" w14:textId="78B80810">
      <w:pPr>
        <w:pStyle w:val="ListParagraph"/>
        <w:numPr>
          <w:ilvl w:val="2"/>
          <w:numId w:val="13"/>
        </w:numPr>
        <w:ind w:left="0" w:firstLine="2160"/>
        <w:jc w:val="both"/>
        <w:rPr>
          <w:b/>
          <w:bCs/>
        </w:rPr>
      </w:pPr>
      <w:r>
        <w:t>a development budget and construction schedule for development of the Landfill;</w:t>
      </w:r>
    </w:p>
    <w:p w:rsidR="00BD5141" w:rsidRPr="00BD5141" w:rsidP="00BD5141" w14:paraId="56BCC65F" w14:textId="77777777">
      <w:pPr>
        <w:pStyle w:val="ListParagraph"/>
        <w:rPr>
          <w:b/>
          <w:bCs/>
        </w:rPr>
      </w:pPr>
    </w:p>
    <w:p w:rsidR="00BD5141" w:rsidRPr="00195BC2" w:rsidP="00CB5A0C" w14:paraId="471A4B04" w14:textId="2FFC073E">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582B02">
        <w:t xml:space="preserve">federal, state, and local </w:t>
      </w:r>
      <w:r w:rsidR="00D7319C">
        <w:t>laws, rules, ordinances, regulations</w:t>
      </w:r>
      <w:r w:rsidR="00C028F6">
        <w:t xml:space="preserve">, </w:t>
      </w:r>
      <w:r w:rsidRPr="00C028F6" w:rsidR="00C028F6">
        <w:t xml:space="preserve">standards, rules, </w:t>
      </w:r>
      <w:r w:rsidRPr="00C028F6" w:rsidR="00C028F6">
        <w:t>governmental requirements and policies, administrative rulings, court judgments and decrees, and all amendments thereto</w:t>
      </w:r>
      <w:r w:rsidR="00582B02">
        <w:t xml:space="preserve"> (collectively, “</w:t>
      </w:r>
      <w:r w:rsidRPr="00582B02" w:rsidR="00582B02">
        <w:rPr>
          <w:b/>
          <w:bCs/>
        </w:rPr>
        <w:t>Laws</w:t>
      </w:r>
      <w:r w:rsidR="00582B02">
        <w:t>”)</w:t>
      </w:r>
      <w:r w:rsidR="00D7319C">
        <w:t>, including, without limitation, 9VAC20-81-120</w:t>
      </w:r>
      <w:r w:rsidR="00582B02">
        <w:t xml:space="preserve"> and 9VAC20-81-130, </w:t>
      </w:r>
      <w:r w:rsidR="00195BC2">
        <w:t xml:space="preserve">(B) </w:t>
      </w:r>
      <w:r w:rsidR="0055570A">
        <w:t xml:space="preserve">the liner base to be used in the Landfill; (C) </w:t>
      </w:r>
      <w:r w:rsidR="004E2E33">
        <w:t xml:space="preserve">a list of </w:t>
      </w:r>
      <w:r w:rsidR="00195BC2">
        <w:t>equipment required for structural, life safety, mechanical, electrical, and plumbing systems, (</w:t>
      </w:r>
      <w:r w:rsidR="0055570A">
        <w:t>D</w:t>
      </w:r>
      <w:r w:rsidR="00195BC2">
        <w:t xml:space="preserve">) </w:t>
      </w:r>
      <w:r w:rsidR="00FE2695">
        <w:t xml:space="preserve">access points to the Landfill, including rail and road access; (E) </w:t>
      </w:r>
      <w:r w:rsidR="004E2E33">
        <w:t xml:space="preserve">plans for </w:t>
      </w:r>
      <w:r w:rsidR="00195BC2">
        <w:t>parking</w:t>
      </w:r>
      <w:r w:rsidR="00AF3E6D">
        <w:t xml:space="preserve"> </w:t>
      </w:r>
      <w:r w:rsidR="004E2E33">
        <w:t xml:space="preserve">and other </w:t>
      </w:r>
      <w:r w:rsidR="00195BC2">
        <w:t xml:space="preserve">facilities, </w:t>
      </w:r>
      <w:r w:rsidR="00AF3E6D">
        <w:t>(</w:t>
      </w:r>
      <w:r w:rsidR="00FE2695">
        <w:t>F</w:t>
      </w:r>
      <w:r w:rsidR="00AF3E6D">
        <w:t xml:space="preserve">) landscaping, buffers, and vegetative screening, </w:t>
      </w:r>
      <w:r w:rsidR="00CD4D00">
        <w:t>and (</w:t>
      </w:r>
      <w:r w:rsidR="00FE2695">
        <w:t>G</w:t>
      </w:r>
      <w:r w:rsidR="00CD4D00">
        <w:t xml:space="preserve">) </w:t>
      </w:r>
      <w:r w:rsidR="00195BC2">
        <w:t>all other details reasonably requested by the County;</w:t>
      </w:r>
    </w:p>
    <w:p w:rsidR="00195BC2" w:rsidRPr="00195BC2" w:rsidP="00195BC2" w14:paraId="0B3BE3C3" w14:textId="77777777">
      <w:pPr>
        <w:pStyle w:val="ListParagraph"/>
        <w:rPr>
          <w:b/>
          <w:bCs/>
        </w:rPr>
      </w:pPr>
    </w:p>
    <w:p w:rsidR="00FF2A9D" w:rsidRPr="00FF2A9D" w:rsidP="00CB5A0C" w14:paraId="12256265" w14:textId="244F2197">
      <w:pPr>
        <w:pStyle w:val="ListParagraph"/>
        <w:numPr>
          <w:ilvl w:val="2"/>
          <w:numId w:val="13"/>
        </w:numPr>
        <w:ind w:left="0" w:firstLine="2160"/>
        <w:jc w:val="both"/>
        <w:rPr>
          <w:b/>
          <w:bCs/>
        </w:rPr>
      </w:pPr>
      <w:r>
        <w:t>a study with respect to rail access to the Landfill, which shall include detailed analys</w:t>
      </w:r>
      <w:r w:rsidR="00E16DE2">
        <w:t>e</w:t>
      </w:r>
      <w:r>
        <w:t>s of anticipated route</w:t>
      </w:r>
      <w:r w:rsidR="00E16DE2">
        <w:t>s</w:t>
      </w:r>
      <w:r>
        <w:t xml:space="preserve"> and the impact of the Landfill on rail traffic in the surrounding area, provided by one or more qualified persons;</w:t>
      </w:r>
    </w:p>
    <w:p w:rsidR="00FF2A9D" w:rsidP="00FF2A9D" w14:paraId="3F3C7C02" w14:textId="77777777">
      <w:pPr>
        <w:pStyle w:val="ListParagraph"/>
      </w:pPr>
    </w:p>
    <w:p w:rsidR="00CD4D00" w:rsidRPr="00CD4D00" w:rsidP="00CB5A0C" w14:paraId="2BF74AD4" w14:textId="6CDDC041">
      <w:pPr>
        <w:pStyle w:val="ListParagraph"/>
        <w:numPr>
          <w:ilvl w:val="2"/>
          <w:numId w:val="13"/>
        </w:numPr>
        <w:ind w:left="0" w:firstLine="2160"/>
        <w:jc w:val="both"/>
        <w:rPr>
          <w:b/>
          <w:bCs/>
        </w:rPr>
      </w:pPr>
      <w:r>
        <w:t>a traffic study, which shall include detailed analyses of anticipated travel routes and the impact of the Landfill on traffic volume in the surrounding area</w:t>
      </w:r>
      <w:r w:rsidR="00F4141A">
        <w:t>, provided by one or more qualified persons</w:t>
      </w:r>
      <w:r>
        <w:t>;</w:t>
      </w:r>
    </w:p>
    <w:p w:rsidR="00CD4D00" w:rsidRPr="00CD4D00" w:rsidP="00CD4D00" w14:paraId="300DB47C" w14:textId="77777777">
      <w:pPr>
        <w:pStyle w:val="ListParagraph"/>
        <w:rPr>
          <w:b/>
          <w:bCs/>
        </w:rPr>
      </w:pPr>
    </w:p>
    <w:p w:rsidR="00CD4D00" w:rsidRPr="00CD4D00" w:rsidP="00CB5A0C" w14:paraId="5EF675AF" w14:textId="00D1F1B7">
      <w:pPr>
        <w:pStyle w:val="ListParagraph"/>
        <w:numPr>
          <w:ilvl w:val="2"/>
          <w:numId w:val="13"/>
        </w:numPr>
        <w:ind w:left="0" w:firstLine="2160"/>
        <w:jc w:val="both"/>
        <w:rPr>
          <w:b/>
          <w:bCs/>
        </w:rPr>
      </w:pPr>
      <w:r>
        <w:t>a</w:t>
      </w:r>
      <w:r w:rsidR="004329EE">
        <w:t xml:space="preserve"> Phase I and/or Phase II E</w:t>
      </w:r>
      <w:r>
        <w:t xml:space="preserve">nvironmental </w:t>
      </w:r>
      <w:r w:rsidR="004329EE">
        <w:t>Site A</w:t>
      </w:r>
      <w:r w:rsidR="00F4141A">
        <w:t xml:space="preserve">ssessment </w:t>
      </w:r>
      <w:r w:rsidR="004329EE">
        <w:t>with respect to the Landfill and/</w:t>
      </w:r>
      <w:r w:rsidR="00F4141A">
        <w:t xml:space="preserve">or </w:t>
      </w:r>
      <w:r w:rsidR="00A97FF1">
        <w:t xml:space="preserve">an </w:t>
      </w:r>
      <w:r w:rsidR="004329EE">
        <w:t xml:space="preserve">environmental </w:t>
      </w:r>
      <w:r>
        <w:t>impact study</w:t>
      </w:r>
      <w:r w:rsidR="004329EE">
        <w:t xml:space="preserve"> showing the potential impacts of the Landfill on its surroundings, as well as measures to mitigate or compensate for such impacts</w:t>
      </w:r>
      <w:r w:rsidR="00F4141A">
        <w:t xml:space="preserve">, </w:t>
      </w:r>
      <w:r w:rsidR="004329EE">
        <w:t xml:space="preserve">in each case </w:t>
      </w:r>
      <w:r w:rsidR="00F4141A">
        <w:t>provided by one or more qualified persons</w:t>
      </w:r>
      <w:r>
        <w:t>;</w:t>
      </w:r>
    </w:p>
    <w:p w:rsidR="00CD4D00" w:rsidRPr="00CD4D00" w:rsidP="00CD4D00" w14:paraId="56121DBB" w14:textId="77777777">
      <w:pPr>
        <w:pStyle w:val="ListParagraph"/>
        <w:rPr>
          <w:b/>
          <w:bCs/>
        </w:rPr>
      </w:pPr>
    </w:p>
    <w:p w:rsidR="00CD4D00" w:rsidRPr="00613635" w:rsidP="00CB5A0C" w14:paraId="17FCBE02" w14:textId="73222761">
      <w:pPr>
        <w:pStyle w:val="ListParagraph"/>
        <w:numPr>
          <w:ilvl w:val="2"/>
          <w:numId w:val="13"/>
        </w:numPr>
        <w:ind w:left="0" w:firstLine="2160"/>
        <w:jc w:val="both"/>
        <w:rPr>
          <w:b/>
          <w:bCs/>
        </w:rPr>
      </w:pPr>
      <w:r>
        <w:t>studies addressing the impact of impoundments, and the proximity of mine shafts, at or near the Landfill site</w:t>
      </w:r>
      <w:r w:rsidR="00F4141A">
        <w:t>, provided by one or more qualified persons</w:t>
      </w:r>
      <w:r>
        <w:t>;</w:t>
      </w:r>
    </w:p>
    <w:p w:rsidR="00613635" w:rsidRPr="00613635" w:rsidP="00613635" w14:paraId="3A1DB1BB" w14:textId="77777777">
      <w:pPr>
        <w:pStyle w:val="ListParagraph"/>
        <w:rPr>
          <w:b/>
          <w:bCs/>
        </w:rPr>
      </w:pPr>
    </w:p>
    <w:p w:rsidR="00613635" w:rsidRPr="00613635" w:rsidP="00CB5A0C" w14:paraId="1B4E8257" w14:textId="67466000">
      <w:pPr>
        <w:pStyle w:val="ListParagraph"/>
        <w:numPr>
          <w:ilvl w:val="2"/>
          <w:numId w:val="13"/>
        </w:numPr>
        <w:ind w:left="0" w:firstLine="2160"/>
        <w:jc w:val="both"/>
        <w:rPr>
          <w:b/>
          <w:bCs/>
        </w:rPr>
      </w:pPr>
      <w:r>
        <w:t>Company’s plans for monitoring, detecting, collecting, storing, and transporting leachate at the Landfill</w:t>
      </w:r>
      <w:r w:rsidR="004E2E33">
        <w:t>, which shall comply with 9VAC20-81-210</w:t>
      </w:r>
      <w:r w:rsidR="00082CBA">
        <w:t>, and monitoring groundwater, which shall comply with 9VAC20-81-250</w:t>
      </w:r>
      <w:r>
        <w:t>;</w:t>
      </w:r>
      <w:r w:rsidR="000A6E60">
        <w:t xml:space="preserve"> provided, that, at a minimum, the Landfill shall include a </w:t>
      </w:r>
      <w:r w:rsidR="00C641BE">
        <w:t xml:space="preserve">leachate </w:t>
      </w:r>
      <w:r w:rsidR="003361D0">
        <w:t xml:space="preserve">leak </w:t>
      </w:r>
      <w:r w:rsidR="00C641BE">
        <w:t>detection system</w:t>
      </w:r>
      <w:r w:rsidR="003A5482">
        <w:t>, a leachate management system,</w:t>
      </w:r>
      <w:r w:rsidR="00C641BE">
        <w:t xml:space="preserve"> and a </w:t>
      </w:r>
      <w:r w:rsidR="000A6E60">
        <w:t xml:space="preserve">facility capable of storing </w:t>
      </w:r>
      <w:r w:rsidR="00C641BE">
        <w:t>leachate for up to ninety (90) days (the “</w:t>
      </w:r>
      <w:r w:rsidRPr="00C641BE" w:rsidR="00C641BE">
        <w:rPr>
          <w:b/>
          <w:bCs/>
        </w:rPr>
        <w:t>Leachate Storage Facility</w:t>
      </w:r>
      <w:r w:rsidR="00C641BE">
        <w:t>”);</w:t>
      </w:r>
    </w:p>
    <w:p w:rsidR="00613635" w:rsidRPr="00613635" w:rsidP="00613635" w14:paraId="16414D3E" w14:textId="77777777">
      <w:pPr>
        <w:pStyle w:val="ListParagraph"/>
        <w:rPr>
          <w:b/>
          <w:bCs/>
        </w:rPr>
      </w:pPr>
    </w:p>
    <w:p w:rsidR="00613635" w:rsidRPr="00613635" w:rsidP="00CB5A0C" w14:paraId="0A9521E0" w14:textId="016107C1">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Pr="00DF0FB2" w:rsidR="00DF0FB2">
        <w:rPr>
          <w:b/>
          <w:bCs/>
        </w:rPr>
        <w:t>Household Hazardous Wastes</w:t>
      </w:r>
      <w:r w:rsidR="00DF0FB2">
        <w:t>”)</w:t>
      </w:r>
      <w:r w:rsidR="0055570A">
        <w:t>;</w:t>
      </w:r>
    </w:p>
    <w:p w:rsidR="00CD4D00" w:rsidP="00CD4D00" w14:paraId="48FE807B" w14:textId="77777777">
      <w:pPr>
        <w:pStyle w:val="ListParagraph"/>
      </w:pPr>
    </w:p>
    <w:p w:rsidR="0062602F" w:rsidRPr="0062602F" w:rsidP="00CB5A0C" w14:paraId="71797ABE" w14:textId="324F6C37">
      <w:pPr>
        <w:pStyle w:val="ListParagraph"/>
        <w:numPr>
          <w:ilvl w:val="2"/>
          <w:numId w:val="13"/>
        </w:numPr>
        <w:ind w:left="0" w:firstLine="2160"/>
        <w:jc w:val="both"/>
        <w:rPr>
          <w:b/>
          <w:bCs/>
        </w:rPr>
      </w:pPr>
      <w:r>
        <w:t>the anticipated daily disposal volume of the Landfill;</w:t>
      </w:r>
    </w:p>
    <w:p w:rsidR="0062602F" w:rsidP="0062602F" w14:paraId="5C66C861" w14:textId="77777777">
      <w:pPr>
        <w:pStyle w:val="ListParagraph"/>
      </w:pPr>
    </w:p>
    <w:p w:rsidR="00195BC2" w:rsidRPr="0062602F" w:rsidP="00CB5A0C" w14:paraId="6C141A33" w14:textId="752340B1">
      <w:pPr>
        <w:pStyle w:val="ListParagraph"/>
        <w:numPr>
          <w:ilvl w:val="2"/>
          <w:numId w:val="13"/>
        </w:numPr>
        <w:ind w:left="0" w:firstLine="2160"/>
        <w:jc w:val="both"/>
        <w:rPr>
          <w:b/>
          <w:bCs/>
        </w:rPr>
      </w:pPr>
      <w:r>
        <w:t>the anticipated service area of the Landfill;</w:t>
      </w:r>
    </w:p>
    <w:p w:rsidR="0062602F" w:rsidRPr="0062602F" w:rsidP="0062602F" w14:paraId="51FADBA2" w14:textId="77777777">
      <w:pPr>
        <w:pStyle w:val="ListParagraph"/>
        <w:rPr>
          <w:b/>
          <w:bCs/>
        </w:rPr>
      </w:pPr>
    </w:p>
    <w:p w:rsidR="0062602F" w:rsidRPr="001E17E3" w:rsidP="00CB5A0C" w14:paraId="7CD6A813" w14:textId="44B219F4">
      <w:pPr>
        <w:pStyle w:val="ListParagraph"/>
        <w:numPr>
          <w:ilvl w:val="2"/>
          <w:numId w:val="13"/>
        </w:numPr>
        <w:ind w:left="0" w:firstLine="2160"/>
        <w:jc w:val="both"/>
        <w:rPr>
          <w:b/>
          <w:bCs/>
        </w:rPr>
      </w:pPr>
      <w:r>
        <w:t>a pro-forma operating budget for the Landfill</w:t>
      </w:r>
      <w:r w:rsidR="001E17E3">
        <w:t>;</w:t>
      </w:r>
    </w:p>
    <w:p w:rsidR="001E17E3" w:rsidRPr="001E17E3" w:rsidP="001E17E3" w14:paraId="7FB557DD" w14:textId="77777777">
      <w:pPr>
        <w:pStyle w:val="ListParagraph"/>
        <w:rPr>
          <w:b/>
          <w:bCs/>
        </w:rPr>
      </w:pPr>
    </w:p>
    <w:p w:rsidR="00D445BB" w:rsidRPr="00D445BB" w:rsidP="00CB5A0C" w14:paraId="79B40061" w14:textId="02A5303A">
      <w:pPr>
        <w:pStyle w:val="ListParagraph"/>
        <w:numPr>
          <w:ilvl w:val="2"/>
          <w:numId w:val="13"/>
        </w:numPr>
        <w:ind w:left="0" w:firstLine="2160"/>
        <w:jc w:val="both"/>
        <w:rPr>
          <w:b/>
          <w:bCs/>
        </w:rPr>
      </w:pPr>
      <w:r>
        <w:t>a closure plan, which shall comply with the requirements of 9VAC20-81-160; and</w:t>
      </w:r>
    </w:p>
    <w:p w:rsidR="00D445BB" w:rsidRPr="00D445BB" w:rsidP="00D445BB" w14:paraId="74B7097E" w14:textId="77777777">
      <w:pPr>
        <w:pStyle w:val="ListParagraph"/>
        <w:rPr>
          <w:b/>
          <w:bCs/>
        </w:rPr>
      </w:pPr>
    </w:p>
    <w:p w:rsidR="00D445BB" w:rsidRPr="00D445BB" w:rsidP="00CB5A0C" w14:paraId="1637C616" w14:textId="77BD9EB0">
      <w:pPr>
        <w:pStyle w:val="ListParagraph"/>
        <w:numPr>
          <w:ilvl w:val="2"/>
          <w:numId w:val="13"/>
        </w:numPr>
        <w:ind w:left="0" w:firstLine="2160"/>
        <w:jc w:val="both"/>
        <w:rPr>
          <w:b/>
          <w:bCs/>
        </w:rPr>
      </w:pPr>
      <w:r>
        <w:t xml:space="preserve">any other </w:t>
      </w:r>
      <w:r w:rsidR="008C3E51">
        <w:t>information</w:t>
      </w:r>
      <w:r>
        <w:t xml:space="preserve"> reasonably </w:t>
      </w:r>
      <w:r w:rsidR="008C3E51">
        <w:t xml:space="preserve">requested </w:t>
      </w:r>
      <w:r>
        <w:t>by the County.</w:t>
      </w:r>
    </w:p>
    <w:p w:rsidR="00BD5C2F" w:rsidRPr="00BD5141" w:rsidP="00BD5141" w14:paraId="57CC8E45" w14:textId="7430C8D6">
      <w:pPr>
        <w:jc w:val="both"/>
        <w:rPr>
          <w:b/>
          <w:bCs/>
        </w:rPr>
      </w:pPr>
    </w:p>
    <w:p w:rsidR="004C6A9D" w:rsidRPr="004C6A9D" w:rsidP="00CB5A0C" w14:paraId="4903A308" w14:textId="68CC6E82">
      <w:pPr>
        <w:pStyle w:val="ListParagraph"/>
        <w:numPr>
          <w:ilvl w:val="1"/>
          <w:numId w:val="13"/>
        </w:numPr>
        <w:ind w:left="0" w:firstLine="1440"/>
        <w:jc w:val="both"/>
        <w:rPr>
          <w:b/>
          <w:bCs/>
        </w:rPr>
      </w:pPr>
      <w:r>
        <w:t>In the event the County has comments to the Pre-Development Package, Company agrees to revise and resubmit the Pre-Development Package.</w:t>
      </w:r>
    </w:p>
    <w:p w:rsidR="004C6A9D" w:rsidRPr="004C6A9D" w:rsidP="004C6A9D" w14:paraId="23130105" w14:textId="77777777">
      <w:pPr>
        <w:pStyle w:val="ListParagraph"/>
        <w:ind w:left="1440"/>
        <w:jc w:val="both"/>
        <w:rPr>
          <w:b/>
          <w:bCs/>
        </w:rPr>
      </w:pPr>
    </w:p>
    <w:p w:rsidR="00AD7374" w:rsidRPr="00990FA1" w:rsidP="00CB5A0C" w14:paraId="11C9494A" w14:textId="535BDC52">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management facility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shall submit such application to the County for review, comment, and approval. Upon the County’s approval of the Permit application, Company shall submit such application to VDEQ, and upon receipt of VDEQ’s draft or proposed Permit, Company shall submit the same to the County for review, comment, and approval</w:t>
      </w:r>
      <w:r w:rsidR="000529FC">
        <w:t xml:space="preserve">; and this process shall be repeated until both VDEQ and the County approve the draft or proposed Permit. In addition, Company agrees that, in the event the County proposes any changes to </w:t>
      </w:r>
      <w:r w:rsidR="004329EE">
        <w:t xml:space="preserve">any </w:t>
      </w:r>
      <w:r w:rsidR="000529FC">
        <w:t>application for the Permit or any other Required Authorization that would enhance structural or operational standards with respect to the Landfill, Company will include such changes in such application</w:t>
      </w:r>
      <w:r w:rsidR="00A43DA3">
        <w:t xml:space="preserve"> or otherwise in its plans and specifications for the Landfill.</w:t>
      </w:r>
    </w:p>
    <w:p w:rsidR="00990FA1" w:rsidRPr="00990FA1" w:rsidP="00990FA1" w14:paraId="4136213B" w14:textId="77777777">
      <w:pPr>
        <w:pStyle w:val="ListParagraph"/>
        <w:ind w:left="1440"/>
        <w:jc w:val="both"/>
        <w:rPr>
          <w:b/>
          <w:bCs/>
        </w:rPr>
      </w:pPr>
    </w:p>
    <w:p w:rsidR="00990FA1" w:rsidRPr="0066267F" w:rsidP="00CB5A0C" w14:paraId="78AEF46C" w14:textId="5EF55733">
      <w:pPr>
        <w:pStyle w:val="ListParagraph"/>
        <w:numPr>
          <w:ilvl w:val="1"/>
          <w:numId w:val="13"/>
        </w:numPr>
        <w:ind w:left="0" w:firstLine="1440"/>
        <w:jc w:val="both"/>
        <w:rPr>
          <w:b/>
          <w:bCs/>
        </w:rPr>
      </w:pPr>
      <w:r>
        <w:t xml:space="preserve">Company </w:t>
      </w:r>
      <w:r w:rsidR="00DD1554">
        <w:t>shall</w:t>
      </w:r>
      <w:r>
        <w:t xml:space="preserve"> </w:t>
      </w:r>
      <w:r w:rsidR="00274C52">
        <w:t>obtain</w:t>
      </w:r>
      <w:r w:rsidR="0066267F">
        <w:t>, at its sole cost and expense,</w:t>
      </w:r>
      <w:r w:rsidR="00274C52">
        <w:t xml:space="preserve"> a landfill </w:t>
      </w:r>
      <w:r w:rsidR="00A436CD">
        <w:t xml:space="preserve">or closure </w:t>
      </w:r>
      <w:r w:rsidR="00274C52">
        <w:t xml:space="preserve">bond that is sufficient </w:t>
      </w:r>
      <w:r w:rsidR="00CD4D00">
        <w:t>to cover closure costs and post-closure monitoring and remediation costs with respect to the Landfill</w:t>
      </w:r>
      <w:r w:rsidR="00A436CD">
        <w:t>; and in any event, such bond shall meet all requirements set forth by VDEQ</w:t>
      </w:r>
      <w:r w:rsidR="00CD4D00">
        <w:t>.</w:t>
      </w:r>
      <w:r>
        <w:t xml:space="preserve"> </w:t>
      </w:r>
    </w:p>
    <w:p w:rsidR="0066267F" w:rsidRPr="0066267F" w:rsidP="0066267F" w14:paraId="3E361695" w14:textId="77777777">
      <w:pPr>
        <w:pStyle w:val="ListParagrap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1541FF50">
      <w:pPr>
        <w:pStyle w:val="ListParagraph"/>
        <w:numPr>
          <w:ilvl w:val="2"/>
          <w:numId w:val="13"/>
        </w:numPr>
        <w:ind w:left="0" w:firstLine="2160"/>
        <w:jc w:val="both"/>
      </w:pPr>
      <w:r>
        <w:t xml:space="preserve">Umbrella liability </w:t>
      </w:r>
      <w:r w:rsidR="0011726B">
        <w:t xml:space="preserve">insurance for the coverages provided under Sections 1.1(e)(i), (iii), and (iv)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F4141A" w:rsidRPr="00097815" w:rsidP="00F4141A" w14:paraId="6714258A" w14:textId="090CB0A0">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6372922B">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the County provides in writing that all Pre-Development Conditions have been completed to its full satisfaction. </w:t>
      </w:r>
    </w:p>
    <w:p w:rsidR="00582B02" w:rsidRPr="00582B02" w:rsidP="00582B02" w14:paraId="5CD66D52" w14:textId="77777777">
      <w:pPr>
        <w:pStyle w:val="ListParagraph"/>
        <w:ind w:left="1440"/>
        <w:jc w:val="both"/>
        <w:rPr>
          <w:b/>
          <w:bCs/>
        </w:rPr>
      </w:pPr>
    </w:p>
    <w:p w:rsidR="00707ABF" w:rsidRPr="00C379F0" w:rsidP="00CB5A0C" w14:paraId="6ED09405" w14:textId="5C39BC3C">
      <w:pPr>
        <w:pStyle w:val="ListParagraph"/>
        <w:numPr>
          <w:ilvl w:val="1"/>
          <w:numId w:val="13"/>
        </w:numPr>
        <w:ind w:left="0" w:firstLine="1440"/>
        <w:jc w:val="both"/>
        <w:rPr>
          <w:b/>
          <w:bCs/>
        </w:rPr>
      </w:pPr>
      <w:r>
        <w:t>Company shall conduct the Construction in accordance with the plans and specifications set forth in the Pre-Development Package</w:t>
      </w:r>
      <w:r w:rsidR="009826F0">
        <w:t>. Company shall not deviate from the plans and specifications set forth in the Pre-Development Package without the County’s prior written consent.</w:t>
      </w:r>
    </w:p>
    <w:p w:rsidR="00707ABF" w:rsidRPr="00707ABF" w:rsidP="00707ABF" w14:paraId="638091FA" w14:textId="77777777">
      <w:pPr>
        <w:pStyle w:val="ListParagraph"/>
        <w:ind w:left="1440"/>
        <w:jc w:val="both"/>
        <w:rPr>
          <w:b/>
          <w:bCs/>
        </w:rPr>
      </w:pPr>
    </w:p>
    <w:p w:rsidR="00707ABF" w:rsidRPr="00707ABF" w:rsidP="00CB5A0C" w14:paraId="1DCC58D5" w14:textId="6620A6E9">
      <w:pPr>
        <w:pStyle w:val="ListParagraph"/>
        <w:numPr>
          <w:ilvl w:val="1"/>
          <w:numId w:val="13"/>
        </w:numPr>
        <w:ind w:left="0" w:firstLine="1440"/>
        <w:jc w:val="both"/>
        <w:rPr>
          <w:b/>
          <w:bCs/>
        </w:rPr>
      </w:pPr>
      <w:r>
        <w:t>Company shall at all times comply with all applicable Laws with respect to the Construction, including, without limitation, 9VAC20-81-130</w:t>
      </w:r>
      <w:r>
        <w:t>, all Required Authorizations</w:t>
      </w:r>
      <w:r w:rsidR="004E2E33">
        <w:t>, and all other permitted plans, authorizations, and conditions applicable to Construction</w:t>
      </w:r>
      <w:r>
        <w:t>.</w:t>
      </w:r>
    </w:p>
    <w:p w:rsidR="00C379F0" w:rsidRPr="00C379F0" w:rsidP="00C379F0" w14:paraId="2A49162E" w14:textId="77777777">
      <w:pPr>
        <w:pStyle w:val="ListParagraph"/>
        <w:ind w:left="1440"/>
        <w:jc w:val="both"/>
        <w:rPr>
          <w:b/>
          <w:bCs/>
        </w:rPr>
      </w:pPr>
    </w:p>
    <w:p w:rsidR="00C379F0" w:rsidRPr="007E4490" w:rsidP="00CB5A0C" w14:paraId="3B23A7F4" w14:textId="4152786F">
      <w:pPr>
        <w:pStyle w:val="ListParagraph"/>
        <w:numPr>
          <w:ilvl w:val="1"/>
          <w:numId w:val="13"/>
        </w:numPr>
        <w:ind w:left="0" w:firstLine="1440"/>
        <w:jc w:val="both"/>
        <w:rPr>
          <w:b/>
          <w:bCs/>
        </w:rPr>
      </w:pPr>
      <w:r>
        <w:t xml:space="preserve">During the Construction, Company shall permit the County access to the Landfill site, and the County shall have the right to designate a representative </w:t>
      </w:r>
      <w:r w:rsidR="007E4490">
        <w:t>(the “</w:t>
      </w:r>
      <w:r w:rsidR="007A45C4">
        <w:rPr>
          <w:b/>
          <w:bCs/>
        </w:rPr>
        <w:t>Landfill Liaison</w:t>
      </w:r>
      <w:r w:rsidR="007E4490">
        <w:t xml:space="preserve">”) </w:t>
      </w:r>
      <w:r>
        <w:t xml:space="preserve">to oversee Company’s compliance </w:t>
      </w:r>
      <w:r w:rsidR="007E4490">
        <w:t>with (i) the plans and specifications set forth in the Pre-Development Package, and (ii) all</w:t>
      </w:r>
      <w:r w:rsidR="004E2E33">
        <w:t xml:space="preserve"> applicable Laws,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7E4490" w:rsidRPr="007E4490" w:rsidP="007E4490" w14:paraId="19129420" w14:textId="77777777">
      <w:pPr>
        <w:pStyle w:val="ListParagraph"/>
        <w:rPr>
          <w:b/>
          <w:bCs/>
        </w:rPr>
      </w:pPr>
    </w:p>
    <w:p w:rsidR="007E4490" w:rsidRPr="0066267F" w:rsidP="00CB5A0C" w14:paraId="51327DD7" w14:textId="445E8716">
      <w:pPr>
        <w:pStyle w:val="ListParagraph"/>
        <w:numPr>
          <w:ilvl w:val="1"/>
          <w:numId w:val="13"/>
        </w:numPr>
        <w:ind w:left="0" w:firstLine="1440"/>
        <w:jc w:val="both"/>
        <w:rPr>
          <w:b/>
          <w:bCs/>
        </w:rPr>
      </w:pPr>
      <w:r>
        <w:t xml:space="preserve">In the event the </w:t>
      </w:r>
      <w:r w:rsidRPr="007A45C4" w:rsid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Pr="00B32604" w:rsidR="00B32604">
        <w:rPr>
          <w:b/>
          <w:bCs/>
        </w:rPr>
        <w:t>Violation Notice</w:t>
      </w:r>
      <w:r w:rsidR="00B32604">
        <w:t xml:space="preserve">”), and Company shall remediate such non-compliance within ten (10) Business Days (or such longer period, as the County may designate in its sole discretion) after receipt of such Violation Notice. If Company fails to remediate such non-compliance within the timeframe set forth in the </w:t>
      </w:r>
      <w:r w:rsidR="001E17E3">
        <w:t>Violation Notice</w:t>
      </w:r>
      <w:r w:rsidR="00B32604">
        <w:t>, the County shall have the right to issue a “stop work” order (a “</w:t>
      </w:r>
      <w:r w:rsidRPr="00B32604" w:rsidR="00B32604">
        <w:rPr>
          <w:b/>
          <w:bCs/>
        </w:rPr>
        <w:t>Stop Work Order</w:t>
      </w:r>
      <w:r w:rsidR="00B32604">
        <w:t xml:space="preserve">”), and Company shall immediately halt the Construction. </w:t>
      </w:r>
      <w:r w:rsidR="001E17E3">
        <w:t xml:space="preserve">The </w:t>
      </w:r>
      <w:r w:rsidR="00B32604">
        <w:t xml:space="preserve">Stop Work Order shall remain in effect until Company remediates the </w:t>
      </w:r>
      <w:r w:rsidR="001E17E3">
        <w:t xml:space="preserve">non-compliance issues set forth in the Violation Notice. Notwithstanding the foregoing, if the </w:t>
      </w:r>
      <w:r w:rsidRPr="007A45C4" w:rsidR="007A45C4">
        <w:t xml:space="preserve">Landfill Liaison </w:t>
      </w:r>
      <w:r w:rsidR="001E17E3">
        <w:t>identifies any non-compliance with the Construction Requirements that poses an imminent threat of material harm to human health or the environment, the County may issue a Stop Work Order with immediate effect, and Company shall immediately</w:t>
      </w:r>
      <w:r w:rsidR="00D559EA">
        <w:t xml:space="preserve"> halt the Construction and</w:t>
      </w:r>
      <w:r w:rsidR="001E17E3">
        <w:t xml:space="preserve"> take steps to remediate such non-compliance.</w:t>
      </w:r>
    </w:p>
    <w:p w:rsidR="0066267F" w:rsidRPr="0066267F" w:rsidP="0066267F" w14:paraId="384898F0" w14:textId="77777777">
      <w:pPr>
        <w:pStyle w:val="ListParagraph"/>
        <w:jc w:val="both"/>
        <w:rPr>
          <w:b/>
          <w:bCs/>
        </w:rPr>
      </w:pPr>
    </w:p>
    <w:p w:rsidR="0066267F" w:rsidRPr="0066267F" w:rsidP="00CB5A0C" w14:paraId="652CE974" w14:textId="6901CCFB">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thousand dollars ($100,000) to defray the costs and expenses already incurred by the County in connection with the development of the Landfill and this Agreement. In addition, during the Construction, </w:t>
      </w:r>
      <w:r w:rsidR="009F6123">
        <w:t xml:space="preserve">Company shall reimburse the County up to </w:t>
      </w:r>
      <w:r w:rsidR="003361D0">
        <w:t>two hundred thousand dollars (</w:t>
      </w:r>
      <w:r w:rsidR="009F6123">
        <w:t>$</w:t>
      </w:r>
      <w:r w:rsidR="003361D0">
        <w:t>2</w:t>
      </w:r>
      <w:r w:rsidR="009F6123">
        <w:t>00,000</w:t>
      </w:r>
      <w:r w:rsidR="003361D0">
        <w:t>)</w:t>
      </w:r>
      <w:r w:rsidR="009F6123">
        <w:t xml:space="preserve"> </w:t>
      </w:r>
      <w:r w:rsidR="00A97FF1">
        <w:t xml:space="preserve">per </w:t>
      </w:r>
      <w:r w:rsidR="00A86CD9">
        <w:t>year</w:t>
      </w:r>
      <w:r w:rsidR="00A97FF1">
        <w:t xml:space="preserve">, beginning as of the </w:t>
      </w:r>
      <w:r w:rsidR="00A86CD9">
        <w:t xml:space="preserve">Effective Date (without proration for any shorter period), </w:t>
      </w:r>
      <w:r w:rsidR="009F6123">
        <w:t>for expenses incurred by the County with respect to the development of the Landfill, including, without limitation, expenses incurred with respect to attorneys and consultants</w:t>
      </w:r>
      <w:r w:rsidR="00E11054">
        <w:t xml:space="preserve"> (the “</w:t>
      </w:r>
      <w:r w:rsidRPr="00E11054" w:rsidR="00E11054">
        <w:rPr>
          <w:b/>
          <w:bCs/>
        </w:rPr>
        <w:t>Development Reimbursement</w:t>
      </w:r>
      <w:r w:rsidR="00E11054">
        <w: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6BC1933">
      <w:pPr>
        <w:pStyle w:val="ListParagraph"/>
        <w:numPr>
          <w:ilvl w:val="1"/>
          <w:numId w:val="12"/>
        </w:numPr>
        <w:ind w:left="0" w:firstLine="720"/>
        <w:jc w:val="both"/>
        <w:rPr>
          <w:b/>
          <w:bCs/>
        </w:rPr>
      </w:pPr>
      <w:r>
        <w:rPr>
          <w:u w:val="single"/>
        </w:rPr>
        <w:t>Authorization to Operate; Compliance with Laws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49E4365">
      <w:pPr>
        <w:pStyle w:val="ListParagraph"/>
        <w:numPr>
          <w:ilvl w:val="2"/>
          <w:numId w:val="12"/>
        </w:numPr>
        <w:ind w:left="0" w:firstLine="1440"/>
        <w:jc w:val="both"/>
        <w:rPr>
          <w:b/>
          <w:bCs/>
        </w:rPr>
      </w:pPr>
      <w:r>
        <w:t xml:space="preserve">Company shall at all times during the Term operate the Landfill in compliance with all applicable Laws, including, without limitation, </w:t>
      </w:r>
      <w:r w:rsidRPr="00873D75">
        <w:t>9VAC20-81-140</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0D9D3CD2">
      <w:pPr>
        <w:pStyle w:val="ListParagraph"/>
        <w:numPr>
          <w:ilvl w:val="2"/>
          <w:numId w:val="12"/>
        </w:numPr>
        <w:ind w:left="0" w:firstLine="1440"/>
        <w:jc w:val="both"/>
        <w:rPr>
          <w:b/>
          <w:bCs/>
        </w:rPr>
      </w:pPr>
      <w:r>
        <w:t>The Landfill</w:t>
      </w:r>
      <w:r w:rsidR="0025473E">
        <w:t xml:space="preserve"> </w:t>
      </w:r>
      <w:r w:rsidR="00370E74">
        <w:t>may</w:t>
      </w:r>
      <w:r w:rsidR="0025473E">
        <w:t xml:space="preserve"> accept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Pr="0025473E" w:rsidR="0025473E">
        <w:t>.</w:t>
      </w:r>
    </w:p>
    <w:p w:rsidR="00CE3025" w:rsidRPr="00CE3025" w:rsidP="00CE3025" w14:paraId="7FB1095D" w14:textId="77777777">
      <w:pPr>
        <w:pStyle w:val="ListParagraph"/>
        <w:ind w:left="1440"/>
        <w:jc w:val="both"/>
        <w:rPr>
          <w:b/>
          <w:bCs/>
        </w:rPr>
      </w:pPr>
    </w:p>
    <w:p w:rsidR="00CE3025" w:rsidRPr="00CE3025" w:rsidP="00CB5A0C" w14:paraId="2328117D" w14:textId="42DC3F9E">
      <w:pPr>
        <w:pStyle w:val="ListParagraph"/>
        <w:numPr>
          <w:ilvl w:val="2"/>
          <w:numId w:val="12"/>
        </w:numPr>
        <w:ind w:left="0" w:firstLine="1440"/>
        <w:jc w:val="both"/>
        <w:rPr>
          <w:b/>
          <w:bCs/>
        </w:rPr>
      </w:pPr>
      <w:r>
        <w:t xml:space="preserve">Company </w:t>
      </w:r>
      <w:r w:rsidR="00370E74">
        <w:t xml:space="preserve">shall </w:t>
      </w:r>
      <w:r>
        <w:t>operate the Landfill as a sanitary landfill, and</w:t>
      </w:r>
      <w:r w:rsidR="002D5EC3">
        <w:t xml:space="preserve">, notwithstanding any statement herein to the contrary, </w:t>
      </w:r>
      <w:r w:rsidR="00370E74">
        <w:t xml:space="preserve">shall </w:t>
      </w:r>
      <w:r>
        <w:t>accept only those wastes authorized by the Act and Regulations, the Permit and all other Required Authorizations</w:t>
      </w:r>
      <w:r w:rsidR="002D5EC3">
        <w:t xml:space="preserve"> (as each may be amended from time to time)</w:t>
      </w:r>
      <w:r w:rsidR="00370E74">
        <w:t>, and this Agreement</w:t>
      </w:r>
      <w:r w:rsidR="002D5EC3">
        <w:t>.</w:t>
      </w:r>
    </w:p>
    <w:p w:rsidR="00CE3025" w:rsidP="00CE3025" w14:paraId="5333B2BD" w14:textId="77777777">
      <w:pPr>
        <w:pStyle w:val="ListParagraph"/>
      </w:pPr>
    </w:p>
    <w:p w:rsidR="00CE3025" w:rsidRPr="00CE3025" w:rsidP="00CB5A0C" w14:paraId="5210446E" w14:textId="77777777">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DEQ for approval of special waste.</w:t>
      </w:r>
    </w:p>
    <w:p w:rsidR="00CE3025" w:rsidP="00CE3025" w14:paraId="551E13D7" w14:textId="77777777">
      <w:pPr>
        <w:pStyle w:val="ListParagraph"/>
      </w:pPr>
    </w:p>
    <w:p w:rsidR="00CE3025" w:rsidP="00CB5A0C" w14:paraId="301D4691" w14:textId="77777777">
      <w:pPr>
        <w:pStyle w:val="ListParagraph"/>
        <w:numPr>
          <w:ilvl w:val="2"/>
          <w:numId w:val="12"/>
        </w:numPr>
        <w:ind w:left="0" w:firstLine="1440"/>
        <w:jc w:val="both"/>
        <w:rPr>
          <w:b/>
          <w:bCs/>
        </w:rPr>
      </w:pPr>
      <w:r w:rsidRPr="00FA5601">
        <w:t xml:space="preserve">Fly ash will be accepted at the Landfill solely for use as cover or construction material, and shall be managed in compliance with all applicable </w:t>
      </w:r>
      <w:r>
        <w:t xml:space="preserve">Laws </w:t>
      </w:r>
      <w:r w:rsidRPr="00FA5601">
        <w:t xml:space="preserve">and </w:t>
      </w:r>
      <w:r>
        <w:t>permit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616ACD4F">
      <w:pPr>
        <w:pStyle w:val="ListParagraph"/>
        <w:numPr>
          <w:ilvl w:val="2"/>
          <w:numId w:val="12"/>
        </w:numPr>
        <w:ind w:left="0" w:firstLine="1440"/>
        <w:jc w:val="both"/>
        <w:rPr>
          <w:b/>
          <w:bCs/>
        </w:rPr>
      </w:pPr>
      <w:r>
        <w:t xml:space="preserve">Company </w:t>
      </w:r>
      <w:r w:rsidRPr="00FA5601">
        <w:t>shall not accept for disposal in the Landfill any of the following (</w:t>
      </w:r>
      <w:r>
        <w:t xml:space="preserve">collectively, </w:t>
      </w:r>
      <w:r w:rsidRPr="00FA5601">
        <w:t>“</w:t>
      </w:r>
      <w:r w:rsidRPr="00CE3025">
        <w:rPr>
          <w:b/>
          <w:bCs/>
        </w:rPr>
        <w:t>Unacceptable Wastes</w:t>
      </w:r>
      <w:r w:rsidRPr="00FA5601">
        <w:t>”):</w:t>
      </w:r>
    </w:p>
    <w:p w:rsidR="00CE3025" w:rsidRPr="00CE3025" w:rsidP="00CE3025" w14:paraId="4AD0676F" w14:textId="77777777">
      <w:pPr>
        <w:pStyle w:val="ListParagraph"/>
        <w:jc w:val="both"/>
        <w:rPr>
          <w:b/>
          <w:bCs/>
        </w:rPr>
      </w:pPr>
    </w:p>
    <w:p w:rsidR="000A6E60" w:rsidRPr="000A6E60" w:rsidP="00CB5A0C" w14:paraId="04E32E3B" w14:textId="77777777">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t xml:space="preserve">Company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7777777">
      <w:pPr>
        <w:pStyle w:val="ListParagraph"/>
        <w:numPr>
          <w:ilvl w:val="2"/>
          <w:numId w:val="13"/>
        </w:numPr>
        <w:ind w:left="0" w:firstLine="2160"/>
        <w:jc w:val="both"/>
        <w:rPr>
          <w:b/>
          <w:bCs/>
        </w:rPr>
      </w:pPr>
      <w:r w:rsidRPr="00FA5601">
        <w:t xml:space="preserve">Any material the disposal of which would violate present or future </w:t>
      </w:r>
      <w:r>
        <w:t xml:space="preserve">Laws </w:t>
      </w:r>
      <w:r w:rsidRPr="00FA5601">
        <w:t xml:space="preserve">or </w:t>
      </w:r>
      <w:r w:rsidR="00E71018">
        <w:t>Required Authorizations (as may be amended from time to time)</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77777777">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p>
    <w:p w:rsidR="000A6E60" w:rsidP="000A6E60" w14:paraId="1589420A" w14:textId="77777777">
      <w:pPr>
        <w:pStyle w:val="ListParagraph"/>
      </w:pPr>
    </w:p>
    <w:p w:rsidR="000A6E60" w:rsidRPr="000A6E60" w:rsidP="00CB5A0C" w14:paraId="09386FBB" w14:textId="77777777">
      <w:pPr>
        <w:pStyle w:val="ListParagraph"/>
        <w:numPr>
          <w:ilvl w:val="2"/>
          <w:numId w:val="13"/>
        </w:numPr>
        <w:ind w:left="0" w:firstLine="2160"/>
        <w:jc w:val="both"/>
        <w:rPr>
          <w:b/>
          <w:bCs/>
        </w:rPr>
      </w:pPr>
      <w:r w:rsidRPr="007537E1">
        <w:t>Any nuclear or by-product material as defined by the Atomic Energy Act of 1954, as amended (68 Stat. 923)</w:t>
      </w:r>
      <w:r>
        <w:t>; or</w:t>
      </w:r>
    </w:p>
    <w:p w:rsidR="000A6E60" w:rsidP="000A6E60" w14:paraId="5522FE3F" w14:textId="77777777">
      <w:pPr>
        <w:pStyle w:val="ListParagraph"/>
      </w:pPr>
    </w:p>
    <w:p w:rsidR="007537E1" w:rsidRPr="000A6E60" w:rsidP="00CB5A0C" w14:paraId="62647F2D" w14:textId="68831E90">
      <w:pPr>
        <w:pStyle w:val="ListParagraph"/>
        <w:numPr>
          <w:ilvl w:val="2"/>
          <w:numId w:val="13"/>
        </w:numPr>
        <w:ind w:left="0" w:firstLine="2160"/>
        <w:jc w:val="both"/>
        <w:rPr>
          <w:b/>
          <w:bCs/>
        </w:rPr>
      </w:pPr>
      <w:r>
        <w:t>Any material number of animal carcasses disposed of in a single day or, except as authorized by the Permit, without specific written approval by the County.</w:t>
      </w:r>
    </w:p>
    <w:p w:rsidR="00DF0FB2" w:rsidRPr="00DF0FB2" w:rsidP="00DF0FB2" w14:paraId="6250893E" w14:textId="77777777">
      <w:pPr>
        <w:pStyle w:val="ListParagraph"/>
        <w:ind w:left="1440"/>
        <w:jc w:val="both"/>
        <w:rPr>
          <w:b/>
          <w:bCs/>
        </w:rPr>
      </w:pPr>
    </w:p>
    <w:p w:rsidR="00DF0FB2" w:rsidRPr="00CE3025" w:rsidP="00CB5A0C" w14:paraId="791305FD" w14:textId="7B433D30">
      <w:pPr>
        <w:pStyle w:val="ListParagraph"/>
        <w:numPr>
          <w:ilvl w:val="2"/>
          <w:numId w:val="12"/>
        </w:numPr>
        <w:ind w:left="0" w:firstLine="1440"/>
        <w:jc w:val="both"/>
        <w:rPr>
          <w:b/>
          <w:bCs/>
        </w:rPr>
      </w:pPr>
      <w:r>
        <w:t xml:space="preserve">Notwithstanding </w:t>
      </w:r>
      <w:r w:rsidRPr="000A6E60">
        <w:rPr>
          <w:u w:val="single"/>
        </w:rPr>
        <w:t>Section 2.3(a)</w:t>
      </w:r>
      <w:r>
        <w:t xml:space="preserve">, Company may, with the County’s consent, establish a facility and process for the temporary collection and storage of </w:t>
      </w:r>
      <w:r w:rsidRPr="000A6E60">
        <w:t>Household Hazardous Wastes</w:t>
      </w:r>
      <w:r>
        <w:t>.</w:t>
      </w:r>
      <w:r w:rsidR="00D559EA">
        <w:t xml:space="preserve"> Company shall be responsible for periodically removing such Household Hazardous Wastes from the Landfill, in accordance with applicable Law.</w:t>
      </w:r>
    </w:p>
    <w:p w:rsidR="00D65AD8" w:rsidRPr="00FA5601" w:rsidP="00FA5601" w14:paraId="3FD2481C" w14:textId="77777777">
      <w:pPr>
        <w:pStyle w:val="ListParagraph"/>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08526F47">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Pr="008C546C">
        <w:t xml:space="preserve">wastes </w:t>
      </w:r>
      <w:r>
        <w:t xml:space="preserve">delivered to the Landfill </w:t>
      </w:r>
      <w:r w:rsidRPr="008C546C">
        <w:t xml:space="preserve">to determine </w:t>
      </w:r>
      <w:r>
        <w:t xml:space="preserve">(i) whether the waste is Acceptable Waste or Unacceptable Waste; and (ii) as applicable, </w:t>
      </w:r>
      <w:r w:rsidRPr="008C546C">
        <w:t xml:space="preserve">the appropriate disposition within the </w:t>
      </w:r>
      <w:r>
        <w:t>L</w:t>
      </w:r>
      <w:r w:rsidRPr="008C546C">
        <w:t>andfill</w:t>
      </w:r>
      <w:r>
        <w:t>. If deemed reasonably necessary by the County, Company shall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509B9E9F">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all applicable Laws.</w:t>
      </w:r>
      <w:r w:rsidR="007B7FB1">
        <w:t xml:space="preserve"> Company may charge the person responsible for delivering such Unacceptable Wastes for the cost of removal of such wastes, so long as Company posts </w:t>
      </w:r>
      <w:r w:rsidR="00963438">
        <w:t xml:space="preserve">conspicuous signs </w:t>
      </w:r>
      <w:r w:rsidR="007B7FB1">
        <w:t>warning of such charges, and such charges do not violate any Law.</w:t>
      </w:r>
    </w:p>
    <w:p w:rsidR="00E71018" w:rsidRPr="00E71018" w:rsidP="00E71018" w14:paraId="08DB30FD" w14:textId="77777777">
      <w:pPr>
        <w:pStyle w:val="ListParagraph"/>
        <w:jc w:val="both"/>
        <w:rPr>
          <w:b/>
          <w:bCs/>
        </w:rPr>
      </w:pPr>
    </w:p>
    <w:p w:rsidR="00E71018" w:rsidP="00CB5A0C" w14:paraId="1704B8C0" w14:textId="3A4EFCF2">
      <w:pPr>
        <w:pStyle w:val="ListParagraph"/>
        <w:numPr>
          <w:ilvl w:val="1"/>
          <w:numId w:val="12"/>
        </w:numPr>
        <w:ind w:left="0" w:firstLine="720"/>
        <w:jc w:val="both"/>
        <w:rPr>
          <w:b/>
          <w:bCs/>
        </w:rPr>
      </w:pPr>
      <w:r w:rsidRPr="00E71018">
        <w:rPr>
          <w:u w:val="single"/>
        </w:rPr>
        <w:t>Service Area</w:t>
      </w:r>
      <w:r>
        <w:t xml:space="preserve">. </w:t>
      </w:r>
      <w:r w:rsidRPr="00D61D65">
        <w:t xml:space="preserve">The service area for the Landfill will be </w:t>
      </w:r>
      <w:r>
        <w:t>[</w:t>
      </w:r>
      <w:r w:rsidRPr="00E71018">
        <w:rPr>
          <w:highlight w:val="yellow"/>
        </w:rPr>
        <w:t>●</w:t>
      </w:r>
      <w:r>
        <w:t>]</w:t>
      </w:r>
      <w:r>
        <w:rPr>
          <w:rStyle w:val="FootnoteReference"/>
        </w:rPr>
        <w:footnoteReference w:id="3"/>
      </w:r>
      <w:r w:rsidR="003361D0">
        <w:t xml:space="preserve"> (the “</w:t>
      </w:r>
      <w:r w:rsidRPr="003361D0" w:rsidR="003361D0">
        <w:rPr>
          <w:b/>
          <w:bCs/>
        </w:rPr>
        <w:t>Service Area</w:t>
      </w:r>
      <w:r w:rsidR="003361D0">
        <w:t>”)</w:t>
      </w:r>
      <w:r w:rsidRPr="00D61D65">
        <w:t>.</w:t>
      </w:r>
      <w:r w:rsidR="0046460A">
        <w:t xml:space="preserve"> </w:t>
      </w:r>
      <w:r w:rsidRPr="00D61D65">
        <w:t xml:space="preserve">The </w:t>
      </w:r>
      <w:r w:rsidR="0046460A">
        <w:t>P</w:t>
      </w:r>
      <w:r w:rsidRPr="00D61D65">
        <w:t xml:space="preserve">arties may otherwise agree in writing from time to time to expand the </w:t>
      </w:r>
      <w:r w:rsidR="003361D0">
        <w:t>S</w:t>
      </w:r>
      <w:r w:rsidRPr="00D61D65">
        <w:t xml:space="preserve">ervice </w:t>
      </w:r>
      <w:r w:rsidR="003361D0">
        <w:t>A</w:t>
      </w:r>
      <w:r w:rsidRPr="00D61D65">
        <w:t>rea</w:t>
      </w:r>
      <w:r w:rsidR="0046460A">
        <w:t xml:space="preserve"> or to </w:t>
      </w:r>
      <w:r w:rsidRPr="00D61D65">
        <w:t>approve special projects from other locations.</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77777777">
      <w:pPr>
        <w:pStyle w:val="ListParagraph"/>
        <w:numPr>
          <w:ilvl w:val="2"/>
          <w:numId w:val="12"/>
        </w:numPr>
        <w:ind w:left="0" w:firstLine="1440"/>
        <w:jc w:val="both"/>
      </w:pPr>
      <w:r w:rsidRPr="00226B26">
        <w:t xml:space="preserve">All </w:t>
      </w:r>
      <w:r>
        <w:t>vehicles</w:t>
      </w:r>
      <w:r w:rsidRPr="00226B26">
        <w:t xml:space="preserve"> entering and leaving the Landfill to dispose of waste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E71018" w:rsidP="00CB5A0C" w14:paraId="11EF90BD" w14:textId="20AA999C">
      <w:pPr>
        <w:pStyle w:val="ListParagraph"/>
        <w:numPr>
          <w:ilvl w:val="1"/>
          <w:numId w:val="12"/>
        </w:numPr>
        <w:ind w:left="0" w:firstLine="720"/>
        <w:jc w:val="both"/>
        <w:rPr>
          <w:b/>
          <w:bCs/>
        </w:rPr>
      </w:pPr>
      <w:r w:rsidRPr="00E71018">
        <w:rPr>
          <w:u w:val="single"/>
        </w:rPr>
        <w:t>Volume and Capacity</w:t>
      </w:r>
      <w:r>
        <w:t>.</w:t>
      </w:r>
    </w:p>
    <w:p w:rsidR="00E71018" w:rsidP="00E71018" w14:paraId="2E904FC5" w14:textId="77777777">
      <w:pPr>
        <w:pStyle w:val="ListParagraph"/>
      </w:pPr>
    </w:p>
    <w:p w:rsidR="00E71018" w:rsidRPr="00A27AD7" w:rsidP="00CB5A0C" w14:paraId="3A3534FB" w14:textId="1120942F">
      <w:pPr>
        <w:pStyle w:val="ListParagraph"/>
        <w:numPr>
          <w:ilvl w:val="2"/>
          <w:numId w:val="12"/>
        </w:numPr>
        <w:ind w:left="-90" w:firstLine="1530"/>
        <w:jc w:val="both"/>
        <w:rPr>
          <w:b/>
          <w:bCs/>
        </w:rPr>
      </w:pPr>
      <w:r w:rsidRPr="00E71018">
        <w:t xml:space="preserve">The daily waste volume accepted for disposal in the Landfill will not exceed </w:t>
      </w:r>
      <w:r w:rsidR="00A86CD9">
        <w:t xml:space="preserve">six thousand (6,000) </w:t>
      </w:r>
      <w:r w:rsidRPr="00E71018">
        <w:t xml:space="preserve">tons </w:t>
      </w:r>
      <w:r w:rsidR="00A27AD7">
        <w:t>(the “</w:t>
      </w:r>
      <w:r w:rsidRPr="00A27AD7" w:rsidR="00A27AD7">
        <w:rPr>
          <w:b/>
          <w:bCs/>
        </w:rPr>
        <w:t>Maximum Volume</w:t>
      </w:r>
      <w:r w:rsidR="00A27AD7">
        <w:t xml:space="preserve">”) </w:t>
      </w:r>
      <w:r w:rsidRPr="00E71018">
        <w:t xml:space="preserve">unless such daily volume limitation is increased in accordance with </w:t>
      </w:r>
      <w:r w:rsidRPr="00A27AD7" w:rsidR="00A27AD7">
        <w:rPr>
          <w:u w:val="single"/>
        </w:rPr>
        <w:t>Section 2.</w:t>
      </w:r>
      <w:r w:rsidR="00076689">
        <w:rPr>
          <w:u w:val="single"/>
        </w:rPr>
        <w:t>7</w:t>
      </w:r>
      <w:r w:rsidRPr="00A27AD7" w:rsidR="00A27AD7">
        <w:rPr>
          <w:u w:val="single"/>
        </w:rPr>
        <w:t>(</w:t>
      </w:r>
      <w:r w:rsidR="00A27AD7">
        <w:rPr>
          <w:u w:val="single"/>
        </w:rPr>
        <w:t>b</w:t>
      </w:r>
      <w:r w:rsidRPr="00A27AD7" w:rsidR="00A27AD7">
        <w:rPr>
          <w:u w:val="single"/>
        </w:rPr>
        <w:t>)</w:t>
      </w:r>
      <w:r w:rsidRPr="00E71018">
        <w:t xml:space="preserve"> or as otherwise agreed to by the Parties in writing and with further amendment to the Permit</w:t>
      </w:r>
      <w:r w:rsidR="00D559EA">
        <w:t>, as necessary</w:t>
      </w:r>
      <w:r>
        <w:t>.</w:t>
      </w:r>
      <w:r w:rsidR="008059A3">
        <w:t xml:space="preserve"> County Waste and Resident Waste shall be excluded from the Maximum Volume.</w:t>
      </w:r>
    </w:p>
    <w:p w:rsidR="00A27AD7" w:rsidRPr="00A27AD7" w:rsidP="00A27AD7" w14:paraId="09159CB2" w14:textId="77777777">
      <w:pPr>
        <w:pStyle w:val="ListParagraph"/>
        <w:ind w:left="1440"/>
        <w:jc w:val="both"/>
        <w:rPr>
          <w:b/>
          <w:bCs/>
        </w:rPr>
      </w:pPr>
    </w:p>
    <w:p w:rsidR="00791F2A" w:rsidP="00CB5A0C" w14:paraId="6BD18819" w14:textId="2211F2BB">
      <w:pPr>
        <w:pStyle w:val="ListParagraph"/>
        <w:numPr>
          <w:ilvl w:val="2"/>
          <w:numId w:val="12"/>
        </w:numPr>
        <w:ind w:left="-90" w:firstLine="1530"/>
        <w:jc w:val="both"/>
      </w:pPr>
      <w:r>
        <w:t>Company may, by written request to the County, request an increase in the Maximum Volume, provided that Company</w:t>
      </w:r>
      <w:r w:rsidRPr="00A27AD7">
        <w:t xml:space="preserve"> is maintaining, in the reasonable judgment of </w:t>
      </w:r>
      <w:r>
        <w:t xml:space="preserve">the </w:t>
      </w:r>
      <w:r w:rsidR="00963438">
        <w:t>Board</w:t>
      </w:r>
      <w:r>
        <w:t>,</w:t>
      </w:r>
      <w:r w:rsidRPr="00A27AD7">
        <w:t xml:space="preserve"> (i) continued compliance with </w:t>
      </w:r>
      <w:r>
        <w:t xml:space="preserve">all applicable Laws with respect to </w:t>
      </w:r>
      <w:r w:rsidRPr="00A27AD7">
        <w:t>the operation of the Landfill, (</w:t>
      </w:r>
      <w:r>
        <w:t>ii</w:t>
      </w:r>
      <w:r w:rsidRPr="00A27AD7">
        <w:t xml:space="preserve">) continued compliance with </w:t>
      </w:r>
      <w:r>
        <w:t>all Required Authorizations, including the Permit</w:t>
      </w:r>
      <w:r w:rsidRPr="00A27AD7">
        <w:t xml:space="preserve">, (iii) timely </w:t>
      </w:r>
      <w:r w:rsidR="001F0025">
        <w:t>H</w:t>
      </w:r>
      <w:r w:rsidRPr="00A27AD7">
        <w:t xml:space="preserve">ost </w:t>
      </w:r>
      <w:r w:rsidR="001F0025">
        <w:t>F</w:t>
      </w:r>
      <w:r w:rsidRPr="00A27AD7">
        <w:t xml:space="preserve">ee payments as required by this Agreement, </w:t>
      </w:r>
      <w:r>
        <w:t xml:space="preserve">and </w:t>
      </w:r>
      <w:r w:rsidRPr="00A27AD7">
        <w:t xml:space="preserve">(iv) </w:t>
      </w:r>
      <w:r>
        <w:t xml:space="preserve">timely payments of all other amounts due to the County under </w:t>
      </w:r>
      <w:r w:rsidRPr="00A27AD7">
        <w:t>this Agreement</w:t>
      </w:r>
      <w:r>
        <w:t xml:space="preserve">. Subject to the requirements of the preceding sentence, the County shall not unreasonably withhold or delay its approval of any such request; provided, that, </w:t>
      </w:r>
      <w:r w:rsidR="001F0025">
        <w:t xml:space="preserve">(1) </w:t>
      </w:r>
      <w:r>
        <w:t>as a condition to such approval, the County may require Company to pay all or a portion of the cost of</w:t>
      </w:r>
      <w:r w:rsidR="006C70AE">
        <w:t xml:space="preserve"> all rail and/or</w:t>
      </w:r>
      <w:r>
        <w:t xml:space="preserve"> </w:t>
      </w:r>
      <w:r w:rsidRPr="00A27AD7">
        <w:t>road improvements</w:t>
      </w:r>
      <w:r>
        <w:t xml:space="preserve"> that the County deems necessary with respect to such increased volume</w:t>
      </w:r>
      <w:r w:rsidR="001F0025">
        <w:t xml:space="preserve">, and reasonable legal and consulting fees incurred by the County in connection with such request; and (2) the County may </w:t>
      </w:r>
      <w:r w:rsidR="00D559EA">
        <w:t>reject</w:t>
      </w:r>
      <w:r w:rsidR="001F0025">
        <w:t>, in its sole discretion, any request for the Maximum Volume to exceed [</w:t>
      </w:r>
      <w:r w:rsidRPr="00E71018" w:rsidR="001F0025">
        <w:rPr>
          <w:highlight w:val="yellow"/>
        </w:rPr>
        <w:t>●</w:t>
      </w:r>
      <w:r w:rsidR="001F0025">
        <w:t>]</w:t>
      </w:r>
      <w:r>
        <w:rPr>
          <w:rStyle w:val="FootnoteReference"/>
        </w:rPr>
        <w:footnoteReference w:id="4"/>
      </w:r>
      <w:r w:rsidR="001F0025">
        <w:t xml:space="preserve"> </w:t>
      </w:r>
      <w:r w:rsidRPr="00E71018" w:rsidR="001F0025">
        <w:t>tons</w:t>
      </w:r>
      <w:r w:rsidR="001F0025">
        <w:t>.</w:t>
      </w:r>
    </w:p>
    <w:p w:rsidR="00C6513A" w:rsidP="00C6513A" w14:paraId="1488C904" w14:textId="77777777">
      <w:pPr>
        <w:pStyle w:val="ListParagraph"/>
      </w:pPr>
    </w:p>
    <w:p w:rsidR="00C6513A" w:rsidP="00CB5A0C" w14:paraId="2599B385" w14:textId="651F7C7D">
      <w:pPr>
        <w:pStyle w:val="ListParagraph"/>
        <w:numPr>
          <w:ilvl w:val="2"/>
          <w:numId w:val="12"/>
        </w:numPr>
        <w:ind w:left="-90" w:firstLine="1530"/>
        <w:jc w:val="both"/>
      </w:pPr>
      <w:r>
        <w:t>On a daily basis throughout the Term, Company agrees not to accept any waste for disposal in the Landfill if such acceptance will exceed the Maximum Volume with respect to such day.</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7307FB" w:rsidP="000538AB" w14:paraId="4AF473C3" w14:textId="17F4B6B5">
      <w:pPr>
        <w:pStyle w:val="ListParagraph"/>
        <w:numPr>
          <w:ilvl w:val="2"/>
          <w:numId w:val="12"/>
        </w:numPr>
        <w:ind w:left="0" w:firstLine="1440"/>
        <w:jc w:val="both"/>
      </w:pPr>
      <w:r>
        <w:t xml:space="preserve">Company </w:t>
      </w:r>
      <w:r w:rsidRPr="00CA45CA">
        <w:t>will pay to the County a</w:t>
      </w:r>
      <w:r>
        <w:t xml:space="preserve">n escalating </w:t>
      </w:r>
      <w:r>
        <w:t>h</w:t>
      </w:r>
      <w:r w:rsidRPr="00CA45CA">
        <w:t xml:space="preserve">ost </w:t>
      </w:r>
      <w:r>
        <w:t>f</w:t>
      </w:r>
      <w:r w:rsidRPr="00CA45CA">
        <w:t xml:space="preserve">ee </w:t>
      </w:r>
      <w:r>
        <w:t>(“</w:t>
      </w:r>
      <w:r w:rsidRPr="00CA45CA">
        <w:rPr>
          <w:b/>
          <w:bCs/>
        </w:rPr>
        <w:t>Host Fee</w:t>
      </w:r>
      <w:r>
        <w:t xml:space="preserve">”) </w:t>
      </w:r>
      <w:r w:rsidRPr="00CA45CA">
        <w:t xml:space="preserve">per ton for each ton of waste disposed of in the Landfill. The Host Fee shall be calculated on a monthly basis and payment shall be made 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t xml:space="preserve"> The Host Fee shall </w:t>
      </w:r>
      <w:r w:rsidR="00C6513A">
        <w:t xml:space="preserve">be determined </w:t>
      </w:r>
      <w:r>
        <w:t>as follows:</w:t>
      </w:r>
    </w:p>
    <w:p w:rsidR="000538AB" w:rsidP="000538AB" w14:paraId="39BB6CC1" w14:textId="77777777">
      <w:pPr>
        <w:pStyle w:val="ListParagraph"/>
        <w:ind w:left="1440"/>
        <w:jc w:val="both"/>
      </w:pP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475"/>
        <w:gridCol w:w="2475"/>
      </w:tblGrid>
      <w:tr w14:paraId="2D740969" w14:textId="77777777" w:rsidTr="00C6513A">
        <w:tblPrEx>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2475" w:type="dxa"/>
          </w:tcPr>
          <w:p w:rsidR="000538AB" w:rsidRPr="00C6513A" w:rsidP="000538AB" w14:paraId="580C598E" w14:textId="4287C8EF">
            <w:pPr>
              <w:jc w:val="center"/>
              <w:rPr>
                <w:b/>
                <w:bCs/>
                <w:sz w:val="24"/>
                <w:szCs w:val="24"/>
                <w:u w:val="single"/>
                <w:lang w:val="en-US" w:eastAsia="en-US" w:bidi="ar-SA"/>
              </w:rPr>
            </w:pPr>
            <w:r w:rsidRPr="00C6513A">
              <w:rPr>
                <w:b/>
                <w:bCs/>
                <w:sz w:val="24"/>
                <w:szCs w:val="24"/>
                <w:u w:val="single"/>
                <w:lang w:val="en-US" w:eastAsia="en-US" w:bidi="ar-SA"/>
              </w:rPr>
              <w:t>Amount (Tons/Day)</w:t>
            </w:r>
          </w:p>
        </w:tc>
        <w:tc>
          <w:tcPr>
            <w:tcW w:w="2475" w:type="dxa"/>
          </w:tcPr>
          <w:p w:rsidR="000538AB" w:rsidRPr="00C6513A" w:rsidP="000538AB" w14:paraId="6CD47406" w14:textId="7ED06CB4">
            <w:pPr>
              <w:jc w:val="center"/>
              <w:rPr>
                <w:b/>
                <w:bCs/>
                <w:sz w:val="24"/>
                <w:szCs w:val="24"/>
                <w:u w:val="single"/>
                <w:lang w:val="en-US" w:eastAsia="en-US" w:bidi="ar-SA"/>
              </w:rPr>
            </w:pPr>
            <w:r w:rsidRPr="00C6513A">
              <w:rPr>
                <w:b/>
                <w:bCs/>
                <w:sz w:val="24"/>
                <w:szCs w:val="24"/>
                <w:u w:val="single"/>
                <w:lang w:val="en-US" w:eastAsia="en-US" w:bidi="ar-SA"/>
              </w:rPr>
              <w:t>Charge/Ton</w:t>
            </w:r>
            <w:r>
              <w:rPr>
                <w:rStyle w:val="FootnoteReference"/>
                <w:b/>
                <w:bCs/>
                <w:u w:val="single"/>
              </w:rPr>
              <w:footnoteReference w:id="5"/>
            </w:r>
          </w:p>
        </w:tc>
      </w:tr>
      <w:tr w14:paraId="57A67A49" w14:textId="77777777" w:rsidTr="00C6513A">
        <w:tblPrEx>
          <w:tblW w:w="0" w:type="auto"/>
          <w:tblInd w:w="2155" w:type="dxa"/>
          <w:tblCellMar>
            <w:top w:w="0" w:type="dxa"/>
            <w:left w:w="108" w:type="dxa"/>
            <w:bottom w:w="0" w:type="dxa"/>
            <w:right w:w="108" w:type="dxa"/>
          </w:tblCellMar>
          <w:tblLook w:val="04A0"/>
        </w:tblPrEx>
        <w:tc>
          <w:tcPr>
            <w:tcW w:w="2475" w:type="dxa"/>
          </w:tcPr>
          <w:p w:rsidR="000538AB" w:rsidP="000538AB" w14:paraId="74E69EB9" w14:textId="77777777">
            <w:pPr>
              <w:rPr>
                <w:sz w:val="24"/>
                <w:szCs w:val="24"/>
                <w:lang w:val="en-US" w:eastAsia="en-US" w:bidi="ar-SA"/>
              </w:rPr>
            </w:pPr>
          </w:p>
          <w:p w:rsidR="000538AB" w:rsidP="000538AB" w14:paraId="785C1AE3" w14:textId="3FE5FB4D">
            <w:pPr>
              <w:rPr>
                <w:sz w:val="24"/>
                <w:szCs w:val="24"/>
                <w:lang w:val="en-US" w:eastAsia="en-US" w:bidi="ar-SA"/>
              </w:rPr>
            </w:pPr>
            <w:r>
              <w:rPr>
                <w:sz w:val="24"/>
                <w:szCs w:val="24"/>
                <w:lang w:val="en-US" w:eastAsia="en-US" w:bidi="ar-SA"/>
              </w:rPr>
              <w:t>Up to 1,000</w:t>
            </w:r>
          </w:p>
        </w:tc>
        <w:tc>
          <w:tcPr>
            <w:tcW w:w="2475" w:type="dxa"/>
          </w:tcPr>
          <w:p w:rsidR="000538AB" w:rsidP="000538AB" w14:paraId="702D26E0" w14:textId="77777777">
            <w:pPr>
              <w:jc w:val="center"/>
              <w:rPr>
                <w:sz w:val="24"/>
                <w:szCs w:val="24"/>
                <w:lang w:val="en-US" w:eastAsia="en-US" w:bidi="ar-SA"/>
              </w:rPr>
            </w:pPr>
          </w:p>
          <w:p w:rsidR="000538AB" w:rsidP="000538AB" w14:paraId="00805E18" w14:textId="4C9C7932">
            <w:pPr>
              <w:jc w:val="center"/>
              <w:rPr>
                <w:sz w:val="24"/>
                <w:szCs w:val="24"/>
                <w:lang w:val="en-US" w:eastAsia="en-US" w:bidi="ar-SA"/>
              </w:rPr>
            </w:pPr>
            <w:r>
              <w:rPr>
                <w:sz w:val="24"/>
                <w:szCs w:val="24"/>
                <w:lang w:val="en-US" w:eastAsia="en-US" w:bidi="ar-SA"/>
              </w:rPr>
              <w:t>$</w:t>
            </w:r>
            <w:r w:rsidR="00FA6636">
              <w:rPr>
                <w:sz w:val="24"/>
                <w:szCs w:val="24"/>
                <w:lang w:val="en-US" w:eastAsia="en-US" w:bidi="ar-SA"/>
              </w:rPr>
              <w:t>3</w:t>
            </w:r>
            <w:r>
              <w:rPr>
                <w:sz w:val="24"/>
                <w:szCs w:val="24"/>
                <w:lang w:val="en-US" w:eastAsia="en-US" w:bidi="ar-SA"/>
              </w:rPr>
              <w:t>.00</w:t>
            </w:r>
          </w:p>
        </w:tc>
      </w:tr>
      <w:tr w14:paraId="643729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6DC8CA6A" w14:textId="51DE7458">
            <w:pPr>
              <w:rPr>
                <w:sz w:val="24"/>
                <w:szCs w:val="24"/>
                <w:lang w:val="en-US" w:eastAsia="en-US" w:bidi="ar-SA"/>
              </w:rPr>
            </w:pPr>
            <w:r>
              <w:rPr>
                <w:sz w:val="24"/>
                <w:szCs w:val="24"/>
                <w:lang w:val="en-US" w:eastAsia="en-US" w:bidi="ar-SA"/>
              </w:rPr>
              <w:t>1,001 to 2,000</w:t>
            </w:r>
          </w:p>
        </w:tc>
        <w:tc>
          <w:tcPr>
            <w:tcW w:w="2475" w:type="dxa"/>
          </w:tcPr>
          <w:p w:rsidR="000538AB" w:rsidP="000538AB" w14:paraId="4B0A4649" w14:textId="6815E387">
            <w:pPr>
              <w:jc w:val="center"/>
              <w:rPr>
                <w:sz w:val="24"/>
                <w:szCs w:val="24"/>
                <w:lang w:val="en-US" w:eastAsia="en-US" w:bidi="ar-SA"/>
              </w:rPr>
            </w:pPr>
            <w:r>
              <w:rPr>
                <w:sz w:val="24"/>
                <w:szCs w:val="24"/>
                <w:lang w:val="en-US" w:eastAsia="en-US" w:bidi="ar-SA"/>
              </w:rPr>
              <w:t>$</w:t>
            </w:r>
            <w:r w:rsidR="00FA6636">
              <w:rPr>
                <w:sz w:val="24"/>
                <w:szCs w:val="24"/>
                <w:lang w:val="en-US" w:eastAsia="en-US" w:bidi="ar-SA"/>
              </w:rPr>
              <w:t>4</w:t>
            </w:r>
            <w:r>
              <w:rPr>
                <w:sz w:val="24"/>
                <w:szCs w:val="24"/>
                <w:lang w:val="en-US" w:eastAsia="en-US" w:bidi="ar-SA"/>
              </w:rPr>
              <w:t>.00</w:t>
            </w:r>
          </w:p>
        </w:tc>
      </w:tr>
      <w:tr w14:paraId="2C783B03"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4281CF3C" w14:textId="117F6632">
            <w:pPr>
              <w:rPr>
                <w:sz w:val="24"/>
                <w:szCs w:val="24"/>
                <w:lang w:val="en-US" w:eastAsia="en-US" w:bidi="ar-SA"/>
              </w:rPr>
            </w:pPr>
            <w:r>
              <w:rPr>
                <w:sz w:val="24"/>
                <w:szCs w:val="24"/>
                <w:lang w:val="en-US" w:eastAsia="en-US" w:bidi="ar-SA"/>
              </w:rPr>
              <w:t>2,001 to 3,000</w:t>
            </w:r>
          </w:p>
        </w:tc>
        <w:tc>
          <w:tcPr>
            <w:tcW w:w="2475" w:type="dxa"/>
          </w:tcPr>
          <w:p w:rsidR="000538AB" w:rsidP="000538AB" w14:paraId="08F7FB81" w14:textId="1FF3B7A0">
            <w:pPr>
              <w:jc w:val="center"/>
              <w:rPr>
                <w:sz w:val="24"/>
                <w:szCs w:val="24"/>
                <w:lang w:val="en-US" w:eastAsia="en-US" w:bidi="ar-SA"/>
              </w:rPr>
            </w:pPr>
            <w:r>
              <w:rPr>
                <w:sz w:val="24"/>
                <w:szCs w:val="24"/>
                <w:lang w:val="en-US" w:eastAsia="en-US" w:bidi="ar-SA"/>
              </w:rPr>
              <w:t>$</w:t>
            </w:r>
            <w:r w:rsidR="00FA6636">
              <w:rPr>
                <w:sz w:val="24"/>
                <w:szCs w:val="24"/>
                <w:lang w:val="en-US" w:eastAsia="en-US" w:bidi="ar-SA"/>
              </w:rPr>
              <w:t>5</w:t>
            </w:r>
            <w:r>
              <w:rPr>
                <w:sz w:val="24"/>
                <w:szCs w:val="24"/>
                <w:lang w:val="en-US" w:eastAsia="en-US" w:bidi="ar-SA"/>
              </w:rPr>
              <w:t>.00</w:t>
            </w:r>
          </w:p>
        </w:tc>
      </w:tr>
      <w:tr w14:paraId="7C390F39"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1FECC97D" w14:textId="3506E8CB">
            <w:pPr>
              <w:rPr>
                <w:sz w:val="24"/>
                <w:szCs w:val="24"/>
                <w:lang w:val="en-US" w:eastAsia="en-US" w:bidi="ar-SA"/>
              </w:rPr>
            </w:pPr>
            <w:r>
              <w:rPr>
                <w:sz w:val="24"/>
                <w:szCs w:val="24"/>
                <w:lang w:val="en-US" w:eastAsia="en-US" w:bidi="ar-SA"/>
              </w:rPr>
              <w:t>3,001 to 4,000</w:t>
            </w:r>
          </w:p>
        </w:tc>
        <w:tc>
          <w:tcPr>
            <w:tcW w:w="2475" w:type="dxa"/>
          </w:tcPr>
          <w:p w:rsidR="000538AB" w:rsidP="000538AB" w14:paraId="59FA8E7C" w14:textId="7AF89B4E">
            <w:pPr>
              <w:jc w:val="center"/>
              <w:rPr>
                <w:sz w:val="24"/>
                <w:szCs w:val="24"/>
                <w:lang w:val="en-US" w:eastAsia="en-US" w:bidi="ar-SA"/>
              </w:rPr>
            </w:pPr>
            <w:r>
              <w:rPr>
                <w:sz w:val="24"/>
                <w:szCs w:val="24"/>
                <w:lang w:val="en-US" w:eastAsia="en-US" w:bidi="ar-SA"/>
              </w:rPr>
              <w:t>$</w:t>
            </w:r>
            <w:r w:rsidR="00FA6636">
              <w:rPr>
                <w:sz w:val="24"/>
                <w:szCs w:val="24"/>
                <w:lang w:val="en-US" w:eastAsia="en-US" w:bidi="ar-SA"/>
              </w:rPr>
              <w:t>6</w:t>
            </w:r>
            <w:r>
              <w:rPr>
                <w:sz w:val="24"/>
                <w:szCs w:val="24"/>
                <w:lang w:val="en-US" w:eastAsia="en-US" w:bidi="ar-SA"/>
              </w:rPr>
              <w:t>.</w:t>
            </w:r>
            <w:r w:rsidR="00FA6636">
              <w:rPr>
                <w:sz w:val="24"/>
                <w:szCs w:val="24"/>
                <w:lang w:val="en-US" w:eastAsia="en-US" w:bidi="ar-SA"/>
              </w:rPr>
              <w:t>0</w:t>
            </w:r>
            <w:r>
              <w:rPr>
                <w:sz w:val="24"/>
                <w:szCs w:val="24"/>
                <w:lang w:val="en-US" w:eastAsia="en-US" w:bidi="ar-SA"/>
              </w:rPr>
              <w:t>0</w:t>
            </w:r>
          </w:p>
        </w:tc>
      </w:tr>
      <w:tr w14:paraId="33F05D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5F35AEA2" w14:textId="220E5E83">
            <w:pPr>
              <w:rPr>
                <w:sz w:val="24"/>
                <w:szCs w:val="24"/>
                <w:lang w:val="en-US" w:eastAsia="en-US" w:bidi="ar-SA"/>
              </w:rPr>
            </w:pPr>
            <w:r>
              <w:rPr>
                <w:sz w:val="24"/>
                <w:szCs w:val="24"/>
                <w:lang w:val="en-US" w:eastAsia="en-US" w:bidi="ar-SA"/>
              </w:rPr>
              <w:t xml:space="preserve">4,001 to </w:t>
            </w:r>
            <w:r w:rsidR="00A86CD9">
              <w:rPr>
                <w:sz w:val="24"/>
                <w:szCs w:val="24"/>
                <w:lang w:val="en-US" w:eastAsia="en-US" w:bidi="ar-SA"/>
              </w:rPr>
              <w:t>6</w:t>
            </w:r>
            <w:r>
              <w:rPr>
                <w:sz w:val="24"/>
                <w:szCs w:val="24"/>
                <w:lang w:val="en-US" w:eastAsia="en-US" w:bidi="ar-SA"/>
              </w:rPr>
              <w:t>,000</w:t>
            </w:r>
          </w:p>
        </w:tc>
        <w:tc>
          <w:tcPr>
            <w:tcW w:w="2475" w:type="dxa"/>
          </w:tcPr>
          <w:p w:rsidR="000538AB" w:rsidP="000538AB" w14:paraId="297977A9" w14:textId="5B0235A2">
            <w:pPr>
              <w:jc w:val="center"/>
              <w:rPr>
                <w:sz w:val="24"/>
                <w:szCs w:val="24"/>
                <w:lang w:val="en-US" w:eastAsia="en-US" w:bidi="ar-SA"/>
              </w:rPr>
            </w:pPr>
            <w:r>
              <w:rPr>
                <w:sz w:val="24"/>
                <w:szCs w:val="24"/>
                <w:lang w:val="en-US" w:eastAsia="en-US" w:bidi="ar-SA"/>
              </w:rPr>
              <w:t>$</w:t>
            </w:r>
            <w:r w:rsidR="00FA6636">
              <w:rPr>
                <w:sz w:val="24"/>
                <w:szCs w:val="24"/>
                <w:lang w:val="en-US" w:eastAsia="en-US" w:bidi="ar-SA"/>
              </w:rPr>
              <w:t>7</w:t>
            </w:r>
            <w:r>
              <w:rPr>
                <w:sz w:val="24"/>
                <w:szCs w:val="24"/>
                <w:lang w:val="en-US" w:eastAsia="en-US" w:bidi="ar-SA"/>
              </w:rPr>
              <w:t>.00</w:t>
            </w:r>
          </w:p>
        </w:tc>
      </w:tr>
    </w:tbl>
    <w:p w:rsidR="00CA45CA" w:rsidP="00C6513A" w14:paraId="7B6228A0" w14:textId="77777777">
      <w:pPr>
        <w:jc w:val="both"/>
      </w:pPr>
    </w:p>
    <w:p w:rsidR="00A27AD7" w:rsidP="00CB5A0C" w14:paraId="3649863E" w14:textId="0521B2DF">
      <w:pPr>
        <w:pStyle w:val="ListParagraph"/>
        <w:numPr>
          <w:ilvl w:val="2"/>
          <w:numId w:val="12"/>
        </w:numPr>
        <w:ind w:left="0" w:firstLine="1440"/>
        <w:jc w:val="both"/>
      </w:pPr>
      <w:r w:rsidRPr="005F108D">
        <w:t xml:space="preserve">The Host Fee shall be adjusted annually, beginning on January 1 after the </w:t>
      </w:r>
      <w:r>
        <w:t>first (1st</w:t>
      </w:r>
      <w:r w:rsidRPr="005F108D">
        <w:t>) anniversary of this Agreement, and on the first day of January thereafter,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t xml:space="preserve">. Such annual increase in the </w:t>
      </w:r>
      <w:r w:rsidR="00065BE8">
        <w:t xml:space="preserve">CPI </w:t>
      </w:r>
      <w:r w:rsidRPr="005F108D">
        <w:t>shall be added to the previous year</w:t>
      </w:r>
      <w:r>
        <w:t>’</w:t>
      </w:r>
      <w:r w:rsidRPr="005F108D">
        <w:t>s Host Fee</w:t>
      </w:r>
      <w:r>
        <w:t xml:space="preserve">. By way of example, </w:t>
      </w:r>
      <w:r w:rsidRPr="005F108D">
        <w:t xml:space="preserve">if the </w:t>
      </w:r>
      <w:r w:rsidR="00065BE8">
        <w:t xml:space="preserve">CPI </w:t>
      </w:r>
      <w:r>
        <w:t xml:space="preserve">on January 1 after the first (1st) anniversary of this Agreement </w:t>
      </w:r>
      <w:r w:rsidRPr="005F108D">
        <w:t xml:space="preserve">is three percent (3%), the Host Fee for </w:t>
      </w:r>
      <w:r w:rsidR="00D559EA">
        <w:t>the next year</w:t>
      </w:r>
      <w:r w:rsidRPr="005F108D">
        <w:t xml:space="preserve"> will be </w:t>
      </w:r>
      <w:r w:rsidR="005D1C4D">
        <w:t>[</w:t>
      </w:r>
      <w:r w:rsidRPr="00E71018" w:rsidR="005D1C4D">
        <w:rPr>
          <w:highlight w:val="yellow"/>
        </w:rPr>
        <w:t>●</w:t>
      </w:r>
      <w:r w:rsidR="005D1C4D">
        <w:t>]</w:t>
      </w:r>
      <w:r>
        <w:rPr>
          <w:rStyle w:val="FootnoteReference"/>
        </w:rPr>
        <w:footnoteReference w:id="6"/>
      </w:r>
      <w:r w:rsidRPr="005F108D">
        <w:t xml:space="preserve">, and so forth. </w:t>
      </w:r>
      <w:r w:rsidR="005D1C4D">
        <w:t>The Host Fee</w:t>
      </w:r>
      <w:r w:rsidRPr="005F108D">
        <w:t xml:space="preserve"> shall </w:t>
      </w:r>
      <w:r w:rsidR="005D1C4D">
        <w:t xml:space="preserve">also </w:t>
      </w:r>
      <w:r w:rsidRPr="005F108D">
        <w:t xml:space="preserve">increase in the event the </w:t>
      </w:r>
      <w:r w:rsidR="005D1C4D">
        <w:t xml:space="preserve">Maximum Volume </w:t>
      </w:r>
      <w:r w:rsidRPr="005F108D">
        <w:t xml:space="preserve">is increased in accordance with </w:t>
      </w:r>
      <w:r w:rsidRPr="005D1C4D" w:rsidR="005D1C4D">
        <w:rPr>
          <w:u w:val="single"/>
        </w:rPr>
        <w:t>Section 2.</w:t>
      </w:r>
      <w:r w:rsidR="00076689">
        <w:rPr>
          <w:u w:val="single"/>
        </w:rPr>
        <w:t>7</w:t>
      </w:r>
      <w:r w:rsidRPr="005F108D">
        <w:t>.</w:t>
      </w:r>
    </w:p>
    <w:p w:rsidR="005D1C4D" w:rsidP="005D1C4D" w14:paraId="1994CFCF" w14:textId="77777777">
      <w:pPr>
        <w:pStyle w:val="ListParagraph"/>
      </w:pPr>
    </w:p>
    <w:p w:rsidR="005D1C4D" w:rsidP="00CB5A0C" w14:paraId="115233AB" w14:textId="3B34554F">
      <w:pPr>
        <w:pStyle w:val="ListParagraph"/>
        <w:numPr>
          <w:ilvl w:val="2"/>
          <w:numId w:val="12"/>
        </w:numPr>
        <w:ind w:left="0" w:firstLine="1440"/>
        <w:jc w:val="both"/>
      </w:pPr>
      <w:r>
        <w:t>All County Waste</w:t>
      </w:r>
      <w:r w:rsidR="008059A3">
        <w:t xml:space="preserve"> and Resident Waste</w:t>
      </w:r>
      <w:r>
        <w:t xml:space="preserve"> shall be </w:t>
      </w:r>
      <w:r w:rsidRPr="005D1C4D">
        <w:t>accepted for free disposal at the Landfill</w:t>
      </w:r>
      <w:r>
        <w:t xml:space="preserve">. </w:t>
      </w:r>
      <w:r w:rsidRPr="005D1C4D">
        <w:t xml:space="preserve">In calculating the Host Fee, </w:t>
      </w:r>
      <w:r>
        <w:t xml:space="preserve">Company </w:t>
      </w:r>
      <w:r w:rsidRPr="005D1C4D">
        <w:t xml:space="preserve">shall exclude </w:t>
      </w:r>
      <w:r>
        <w:t xml:space="preserve">all </w:t>
      </w:r>
      <w:r w:rsidRPr="005D1C4D">
        <w:t>County Waste</w:t>
      </w:r>
      <w:r w:rsidR="008059A3">
        <w:t xml:space="preserve"> and Resident Waste</w:t>
      </w:r>
      <w:r w:rsidRPr="005D1C4D">
        <w:t>. The Host Fee shall be paid for all other material or waste accepted at the Landfill for final disposal</w:t>
      </w:r>
      <w:r>
        <w:t>.</w:t>
      </w:r>
    </w:p>
    <w:p w:rsidR="005D1C4D" w:rsidP="005D1C4D" w14:paraId="09C806A3" w14:textId="77777777">
      <w:pPr>
        <w:pStyle w:val="ListParagraph"/>
      </w:pPr>
    </w:p>
    <w:p w:rsidR="000729E7" w:rsidP="00CB5A0C" w14:paraId="7B9F7F68" w14:textId="0A148117">
      <w:pPr>
        <w:pStyle w:val="ListParagraph"/>
        <w:numPr>
          <w:ilvl w:val="2"/>
          <w:numId w:val="12"/>
        </w:numPr>
        <w:ind w:left="0" w:firstLine="1440"/>
        <w:jc w:val="both"/>
      </w:pPr>
      <w:r>
        <w:t>Company shall pay the Host Fee to the County within twenty (20) days after the end of each month during the Term. Such payment shall be made in accordance with the Company’s directions, which the Company may, by written notice to Company, change from time to time.</w:t>
      </w:r>
    </w:p>
    <w:p w:rsidR="000729E7" w:rsidP="000729E7" w14:paraId="30E7A641" w14:textId="77777777">
      <w:pPr>
        <w:pStyle w:val="ListParagraph"/>
      </w:pPr>
    </w:p>
    <w:p w:rsidR="005D1C4D" w:rsidP="00CB5A0C" w14:paraId="1DC42B90" w14:textId="7674E58A">
      <w:pPr>
        <w:pStyle w:val="ListParagraph"/>
        <w:numPr>
          <w:ilvl w:val="2"/>
          <w:numId w:val="12"/>
        </w:numPr>
        <w:ind w:left="0" w:firstLine="1440"/>
        <w:jc w:val="both"/>
      </w:pPr>
      <w:r w:rsidRPr="006A63C9">
        <w:t xml:space="preserve">Beginning </w:t>
      </w:r>
      <w:r>
        <w:t>[</w:t>
      </w:r>
      <w:r w:rsidRPr="00E71018">
        <w:rPr>
          <w:highlight w:val="yellow"/>
        </w:rPr>
        <w:t>●</w:t>
      </w:r>
      <w:r>
        <w:t>]</w:t>
      </w:r>
      <w:r>
        <w:rPr>
          <w:rStyle w:val="FootnoteReference"/>
        </w:rPr>
        <w:footnoteReference w:id="7"/>
      </w:r>
      <w:r w:rsidRPr="006A63C9">
        <w:t xml:space="preserve">, </w:t>
      </w:r>
      <w:r>
        <w:t xml:space="preserve">Company </w:t>
      </w:r>
      <w:r w:rsidRPr="006A63C9">
        <w:t xml:space="preserve">will guarantee a minimum Host Fee payment to </w:t>
      </w:r>
      <w:r>
        <w:t xml:space="preserve">the </w:t>
      </w:r>
      <w:r w:rsidRPr="006A63C9">
        <w:t xml:space="preserve">County of </w:t>
      </w:r>
      <w:r w:rsidR="00A86CD9">
        <w:t>one hundred thousand dollars ($100,000)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waste volume into the Landfill due to actions, rulings or decisions of the </w:t>
      </w:r>
      <w:r>
        <w:t>V</w:t>
      </w:r>
      <w:r w:rsidRPr="006A63C9">
        <w:t>DEQ or any other local, state or federal governmental or regulatory body</w:t>
      </w:r>
      <w:r w:rsidR="00CB0751">
        <w:t xml:space="preserve">, </w:t>
      </w:r>
      <w:r>
        <w:t>unless such action, ruling, or decision is based on Company’s violation of any applicable Law or Required Authorization</w:t>
      </w:r>
      <w:r w:rsidRPr="006A63C9">
        <w:t>.</w:t>
      </w:r>
    </w:p>
    <w:p w:rsidR="00475A43" w:rsidRPr="00475A43" w:rsidP="00475A43" w14:paraId="7D25B598" w14:textId="77777777">
      <w:pPr>
        <w:rPr>
          <w:u w:val="single"/>
        </w:rPr>
      </w:pPr>
    </w:p>
    <w:p w:rsidR="00E35223" w:rsidP="00CB5A0C" w14:paraId="52155361" w14:textId="0EA8D7F8">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t xml:space="preserve"> that:</w:t>
      </w:r>
    </w:p>
    <w:p w:rsidR="00E35223" w:rsidP="00E35223" w14:paraId="2272162C" w14:textId="77777777">
      <w:pPr>
        <w:pStyle w:val="ListParagraph"/>
        <w:ind w:left="1440"/>
        <w:jc w:val="both"/>
      </w:pPr>
    </w:p>
    <w:p w:rsidR="00320B22" w:rsidP="00CB5A0C" w14:paraId="5DBB8925" w14:textId="59C1E41F">
      <w:pPr>
        <w:pStyle w:val="ListParagraph"/>
        <w:numPr>
          <w:ilvl w:val="1"/>
          <w:numId w:val="13"/>
        </w:numPr>
        <w:ind w:left="0" w:firstLine="1440"/>
        <w:jc w:val="both"/>
      </w:pPr>
      <w:r>
        <w:t xml:space="preserve">it will accept </w:t>
      </w:r>
      <w:r>
        <w:t>County Waste at the Landfill</w:t>
      </w:r>
      <w:r>
        <w:t>; provided, that, Company shall not accept any such waste that constitutes an Unacceptable Waste; and</w:t>
      </w:r>
    </w:p>
    <w:p w:rsidR="00E35223" w:rsidP="006122EF" w14:paraId="20EB540D" w14:textId="77777777">
      <w:pPr>
        <w:pStyle w:val="ListParagraph"/>
        <w:ind w:left="0" w:firstLine="1440"/>
        <w:jc w:val="both"/>
      </w:pPr>
    </w:p>
    <w:p w:rsidR="00CB0751" w:rsidP="00CB0751" w14:paraId="3F2C5184" w14:textId="1666E597">
      <w:pPr>
        <w:pStyle w:val="ListParagraph"/>
        <w:numPr>
          <w:ilvl w:val="1"/>
          <w:numId w:val="13"/>
        </w:numPr>
        <w:ind w:left="0" w:firstLine="1440"/>
        <w:jc w:val="both"/>
      </w:pPr>
      <w:r w:rsidRPr="00E35223">
        <w:t xml:space="preserve">residents of </w:t>
      </w:r>
      <w:r>
        <w:t xml:space="preserve">Russell County </w:t>
      </w:r>
      <w:r w:rsidRPr="00E35223">
        <w:t xml:space="preserve">shall be permitted to use the Landfill for the disposal of their own </w:t>
      </w:r>
      <w:r w:rsidR="008059A3">
        <w:t xml:space="preserve">Acceptable Wastes </w:t>
      </w:r>
      <w:r w:rsidRPr="00E35223">
        <w:t>(“</w:t>
      </w:r>
      <w:r w:rsidRPr="00D559EA">
        <w:rPr>
          <w:b/>
          <w:bCs/>
        </w:rPr>
        <w:t>Resident Waste</w:t>
      </w:r>
      <w:r w:rsidRPr="00E35223">
        <w:t>”) for so long as the Landfill is open and is accepting such waste</w:t>
      </w:r>
      <w:r w:rsidR="008059A3">
        <w:t xml:space="preserve">; provided, that, Company </w:t>
      </w:r>
      <w:r w:rsidRPr="00E35223">
        <w:t xml:space="preserve">will only be required to accept Resident Waste </w:t>
      </w:r>
      <w:r w:rsidR="008059A3">
        <w:t>(</w:t>
      </w:r>
      <w:r w:rsidR="006122EF">
        <w:t>i</w:t>
      </w:r>
      <w:r w:rsidR="008059A3">
        <w:t xml:space="preserve">) </w:t>
      </w:r>
      <w:r w:rsidRPr="00E35223">
        <w:t>delivered by residents in their personal, non-commercial vehicles (i.e., non-commercial cars and pickup trucks without side-rails)</w:t>
      </w:r>
      <w:r w:rsidR="008059A3">
        <w:t>; (</w:t>
      </w:r>
      <w:r w:rsidR="006122EF">
        <w:t>ii</w:t>
      </w:r>
      <w:r w:rsidR="008059A3">
        <w:t xml:space="preserve">) upon </w:t>
      </w:r>
      <w:r w:rsidRPr="00E35223">
        <w:t xml:space="preserve">presentation of evidence reasonably satisfactory to </w:t>
      </w:r>
      <w:r w:rsidR="008059A3">
        <w:t xml:space="preserve">Company </w:t>
      </w:r>
      <w:r w:rsidRPr="00E35223">
        <w:t xml:space="preserve">that </w:t>
      </w:r>
      <w:r w:rsidR="008059A3">
        <w:t xml:space="preserve">the resident is </w:t>
      </w:r>
      <w:r w:rsidRPr="00E35223">
        <w:t xml:space="preserve">indeed </w:t>
      </w:r>
      <w:r w:rsidR="008059A3">
        <w:t xml:space="preserve">a </w:t>
      </w:r>
      <w:r w:rsidRPr="00E35223">
        <w:t xml:space="preserve">resident of </w:t>
      </w:r>
      <w:r w:rsidR="008059A3">
        <w:t xml:space="preserve">Russell County </w:t>
      </w:r>
      <w:r w:rsidRPr="00E35223">
        <w:t xml:space="preserve">(which may include, but is not limited to, the resident’s driver’s license showing a </w:t>
      </w:r>
      <w:r w:rsidR="008059A3">
        <w:t xml:space="preserve">Russell County </w:t>
      </w:r>
      <w:r w:rsidRPr="00E35223">
        <w:t>address</w:t>
      </w:r>
      <w:r w:rsidR="008059A3">
        <w:t>,</w:t>
      </w:r>
      <w:r w:rsidRPr="00E35223">
        <w:t xml:space="preserve"> together with a utility bill showing </w:t>
      </w:r>
      <w:r w:rsidR="008059A3">
        <w:t>such address</w:t>
      </w:r>
      <w:r w:rsidRPr="00E35223">
        <w:t xml:space="preserve">). </w:t>
      </w:r>
      <w:r w:rsidR="008059A3">
        <w:t xml:space="preserve">Company </w:t>
      </w:r>
      <w:r w:rsidRPr="00E35223">
        <w:t xml:space="preserve">may deny access to the Landfill to anyone who attempts to bring </w:t>
      </w:r>
      <w:r w:rsidR="008059A3">
        <w:t xml:space="preserve">such </w:t>
      </w:r>
      <w:r w:rsidRPr="00E35223">
        <w:t xml:space="preserve">waste </w:t>
      </w:r>
      <w:r w:rsidR="008059A3">
        <w:t>who is not a resident of Russell County</w:t>
      </w:r>
      <w:r w:rsidRPr="00E35223">
        <w:t xml:space="preserve">, </w:t>
      </w:r>
      <w:r w:rsidR="006122EF">
        <w:t xml:space="preserve">and </w:t>
      </w:r>
      <w:r w:rsidRPr="00E35223">
        <w:t xml:space="preserve">may establish </w:t>
      </w:r>
      <w:r w:rsidR="006122EF">
        <w:t xml:space="preserve">reasonable restrictions and </w:t>
      </w:r>
      <w:r w:rsidRPr="00E35223">
        <w:t xml:space="preserve">measures </w:t>
      </w:r>
      <w:r w:rsidR="006122EF">
        <w:t xml:space="preserve">with respect to </w:t>
      </w:r>
      <w:r w:rsidRPr="00E35223">
        <w:t xml:space="preserve">the amount of Resident Waste accepted </w:t>
      </w:r>
      <w:r w:rsidR="006122EF">
        <w:t xml:space="preserve">in a given time period. </w:t>
      </w:r>
    </w:p>
    <w:p w:rsidR="00D559EA" w:rsidP="00D559EA" w14:paraId="04828E67"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029A5F2">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r w:rsidR="00D559EA">
        <w:t>The maximum number of County Collection Sites shall be [</w:t>
      </w:r>
      <w:r w:rsidRPr="00E71018" w:rsidR="00D559EA">
        <w:rPr>
          <w:highlight w:val="yellow"/>
        </w:rPr>
        <w:t>●</w:t>
      </w:r>
      <w:r w:rsidR="00D559EA">
        <w:t>].</w:t>
      </w:r>
      <w:r>
        <w:rPr>
          <w:rStyle w:val="FootnoteReference"/>
        </w:rPr>
        <w:footnoteReference w:id="8"/>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590BC8CE">
      <w:pPr>
        <w:pStyle w:val="ListParagraph"/>
        <w:numPr>
          <w:ilvl w:val="2"/>
          <w:numId w:val="12"/>
        </w:numPr>
        <w:ind w:left="0" w:firstLine="1440"/>
        <w:jc w:val="both"/>
      </w:pPr>
      <w:r>
        <w:t xml:space="preserve">Company </w:t>
      </w:r>
      <w:r w:rsidRPr="00076689">
        <w:t xml:space="preserve">shall, </w:t>
      </w:r>
      <w:r w:rsidR="00646907">
        <w:t xml:space="preserve">upon the County’s written  request, </w:t>
      </w:r>
      <w:r w:rsidR="00A43DA3">
        <w:t xml:space="preserve">and </w:t>
      </w:r>
      <w:r w:rsidRPr="00076689">
        <w:t xml:space="preserve">without charge, provide disposal service for </w:t>
      </w:r>
      <w:r>
        <w:t>each County Collection Site</w:t>
      </w:r>
      <w:r w:rsidRPr="00076689">
        <w:t xml:space="preserve">, including collection and transportation of the waste from </w:t>
      </w:r>
      <w:r>
        <w:t xml:space="preserve">such </w:t>
      </w:r>
      <w:r w:rsidRPr="00076689">
        <w:t>site</w:t>
      </w:r>
      <w:r>
        <w:t>s</w:t>
      </w:r>
      <w:r w:rsidRPr="00076689">
        <w:t xml:space="preserve"> to the </w:t>
      </w:r>
      <w:r>
        <w:t>L</w:t>
      </w:r>
      <w:r w:rsidRPr="00076689">
        <w:t>andfill</w:t>
      </w:r>
      <w:r w:rsidR="00320B22">
        <w:t>,</w:t>
      </w:r>
      <w:r w:rsidRPr="00076689">
        <w:t xml:space="preserve"> in order to provide disposal of the county’s residential, non-commercial, non</w:t>
      </w:r>
      <w:r>
        <w:t>-</w:t>
      </w:r>
      <w:r w:rsidRPr="00076689">
        <w:t xml:space="preserve">industrial solid waste. </w:t>
      </w:r>
      <w:r w:rsidR="00320B22">
        <w:t>Such pickups shall occur no less than twice per week.</w:t>
      </w:r>
    </w:p>
    <w:p w:rsidR="009F30E5" w:rsidP="009F30E5" w14:paraId="0DDD10CE" w14:textId="77777777">
      <w:pPr>
        <w:pStyle w:val="ListParagraph"/>
        <w:ind w:left="1440"/>
        <w:jc w:val="both"/>
      </w:pPr>
    </w:p>
    <w:p w:rsidR="00CC074F" w:rsidP="00CB5A0C" w14:paraId="1EE25638" w14:textId="578BC31D">
      <w:pPr>
        <w:pStyle w:val="ListParagraph"/>
        <w:numPr>
          <w:ilvl w:val="2"/>
          <w:numId w:val="12"/>
        </w:numPr>
        <w:ind w:left="0" w:firstLine="1440"/>
        <w:jc w:val="both"/>
      </w:pPr>
      <w:r>
        <w:t>With respect to any existing County Collection Site, or u</w:t>
      </w:r>
      <w:r w:rsidR="00D559EA">
        <w:t xml:space="preserve">pon establishment of </w:t>
      </w:r>
      <w:r>
        <w:t>a</w:t>
      </w:r>
      <w:r w:rsidR="00A43DA3">
        <w:t>ny a</w:t>
      </w:r>
      <w:r>
        <w:t xml:space="preserve">dditional </w:t>
      </w:r>
      <w:r w:rsidR="00D559EA">
        <w:t xml:space="preserve">County Collection Site, </w:t>
      </w:r>
      <w:r>
        <w:t xml:space="preserve">the County may, by written notice to Company, assign to Company, and Company shall assume from the County, </w:t>
      </w:r>
      <w:r w:rsidR="00D559EA">
        <w:t xml:space="preserve">operational control of such sites. As applicable, </w:t>
      </w:r>
      <w:r w:rsidR="00076689">
        <w:t xml:space="preserve">Company </w:t>
      </w:r>
      <w:r w:rsidRPr="00076689" w:rsidR="00076689">
        <w:t xml:space="preserve">shall obtain all permits and approvals necessary for the operation of such </w:t>
      </w:r>
      <w:r w:rsidR="00076689">
        <w:t xml:space="preserve">County Collection Sites </w:t>
      </w:r>
      <w:r w:rsidRPr="00076689" w:rsidR="00076689">
        <w:t xml:space="preserve">and shall operate the same in accordance with </w:t>
      </w:r>
      <w:r w:rsidR="00076689">
        <w:t xml:space="preserve">all </w:t>
      </w:r>
      <w:r w:rsidRPr="00076689" w:rsidR="00076689">
        <w:t xml:space="preserve">applicable </w:t>
      </w:r>
      <w:r w:rsidR="00076689">
        <w:t>Laws</w:t>
      </w:r>
      <w:r w:rsidRPr="00076689" w:rsidR="00076689">
        <w:t>.</w:t>
      </w:r>
    </w:p>
    <w:p w:rsidR="003A5482" w:rsidP="003A5482" w14:paraId="19955DFF" w14:textId="77777777">
      <w:pPr>
        <w:pStyle w:val="ListParagraph"/>
      </w:pPr>
    </w:p>
    <w:p w:rsidR="003A5482" w:rsidP="00CB5A0C" w14:paraId="38225EA3" w14:textId="1104BE5C">
      <w:pPr>
        <w:pStyle w:val="ListParagraph"/>
        <w:numPr>
          <w:ilvl w:val="2"/>
          <w:numId w:val="12"/>
        </w:numPr>
        <w:ind w:left="0" w:firstLine="1440"/>
        <w:jc w:val="both"/>
      </w:pPr>
      <w:r>
        <w:t>At any time, t</w:t>
      </w:r>
      <w:r>
        <w:t>he County shall have the right to close, on a permanent or temporary basis, decommission, and dismantle any County Collection Site.</w:t>
      </w:r>
    </w:p>
    <w:p w:rsidR="00CC074F" w:rsidRPr="009F30E5" w:rsidP="009F30E5" w14:paraId="6C126EC5" w14:textId="77777777">
      <w:pPr>
        <w:rPr>
          <w:u w:val="single"/>
        </w:rPr>
      </w:pPr>
    </w:p>
    <w:p w:rsidR="00CB0751" w:rsidP="00CB5A0C" w14:paraId="53ECD175" w14:textId="42FBE2BF">
      <w:pPr>
        <w:pStyle w:val="ListParagraph"/>
        <w:numPr>
          <w:ilvl w:val="1"/>
          <w:numId w:val="12"/>
        </w:numPr>
        <w:ind w:left="0" w:firstLine="720"/>
        <w:jc w:val="both"/>
      </w:pPr>
      <w:r w:rsidRPr="003B6AC4">
        <w:rPr>
          <w:u w:val="single"/>
        </w:rPr>
        <w:t>Hours of Operation; Access</w:t>
      </w:r>
      <w:r w:rsidR="008C546C">
        <w:rPr>
          <w:u w:val="single"/>
        </w:rPr>
        <w:t xml:space="preserve"> and Security</w:t>
      </w:r>
      <w:r>
        <w:t>.</w:t>
      </w:r>
    </w:p>
    <w:p w:rsidR="003B6AC4" w:rsidP="003B6AC4" w14:paraId="434F4FD9" w14:textId="77777777">
      <w:pPr>
        <w:pStyle w:val="ListParagraph"/>
      </w:pPr>
    </w:p>
    <w:p w:rsidR="003B6AC4" w:rsidRPr="001C3A03" w:rsidP="00CB5A0C" w14:paraId="6799443E" w14:textId="2DE82CB5">
      <w:pPr>
        <w:pStyle w:val="ListParagraph"/>
        <w:numPr>
          <w:ilvl w:val="2"/>
          <w:numId w:val="12"/>
        </w:numPr>
        <w:ind w:left="0" w:firstLine="1440"/>
        <w:jc w:val="both"/>
        <w:rPr>
          <w:b/>
          <w:bCs/>
        </w:rPr>
      </w:pPr>
      <w:r>
        <w:t xml:space="preserve">The Landfill shall be open Monday through Saturday, except for New Year’s Day, </w:t>
      </w:r>
      <w:r w:rsidR="007A3EE7">
        <w:t xml:space="preserve">Memorial Day, Independence Day, Labor Day, </w:t>
      </w:r>
      <w:r>
        <w:t>Thanksgiving Day, and Christmas Day.</w:t>
      </w:r>
    </w:p>
    <w:p w:rsidR="00B20186" w:rsidP="00C430B5" w14:paraId="3F1366D5" w14:textId="77777777"/>
    <w:p w:rsidR="003B6AC4" w:rsidRPr="00BF654C" w:rsidP="00CB5A0C" w14:paraId="776CA96B" w14:textId="2BF71872">
      <w:pPr>
        <w:pStyle w:val="ListParagraph"/>
        <w:numPr>
          <w:ilvl w:val="2"/>
          <w:numId w:val="12"/>
        </w:numPr>
        <w:ind w:left="0" w:firstLine="1440"/>
        <w:jc w:val="both"/>
      </w:pPr>
      <w:r>
        <w:t xml:space="preserve">The Landfill shall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69C59DF2">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Pr="00DF0FB2">
        <w:t>a single public access point</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and fencing around the Landfill</w:t>
      </w:r>
      <w:r>
        <w:t>, 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waste. The </w:t>
      </w:r>
      <w:r w:rsidR="000A6E60">
        <w:t xml:space="preserve">Access Gate </w:t>
      </w:r>
      <w:r w:rsidRPr="00CB0751">
        <w:t>attendant</w:t>
      </w:r>
      <w:r w:rsidR="00FE2695">
        <w:t>s</w:t>
      </w:r>
      <w:r w:rsidRPr="00CB0751">
        <w:t xml:space="preserve"> </w:t>
      </w:r>
      <w:r>
        <w:t xml:space="preserve">shall </w:t>
      </w:r>
      <w:r w:rsidRPr="00CB0751">
        <w:t xml:space="preserve">screen out unauthorized </w:t>
      </w:r>
      <w:r w:rsidR="00FE2695">
        <w:t xml:space="preserve">rail cars and </w:t>
      </w:r>
      <w:r w:rsidRPr="00CB0751">
        <w:t xml:space="preserve">vehicles and </w:t>
      </w:r>
      <w:r w:rsidR="00FE2695">
        <w:t xml:space="preserve">rail cars and </w:t>
      </w:r>
      <w:r w:rsidRPr="00CB0751">
        <w:t>vehicles with unauthorized cargo</w:t>
      </w:r>
      <w:r w:rsidR="007B7FB1">
        <w:t xml:space="preserve"> (e.g., by requesting a description of the waste from the </w:t>
      </w:r>
      <w:r w:rsidR="00FE2695">
        <w:t>operator</w:t>
      </w:r>
      <w:r w:rsidR="007B7FB1">
        <w:t>)</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informing users of acceptable and non-acceptable types of waste.</w:t>
      </w:r>
    </w:p>
    <w:p w:rsidR="00DF0FB2" w:rsidP="00DF0FB2" w14:paraId="794936F5" w14:textId="77777777">
      <w:pPr>
        <w:pStyle w:val="ListParagraph"/>
      </w:pPr>
    </w:p>
    <w:p w:rsidR="00DF0FB2" w:rsidP="00CB5A0C" w14:paraId="09FE3BCF" w14:textId="556C048A">
      <w:pPr>
        <w:pStyle w:val="ListParagraph"/>
        <w:numPr>
          <w:ilvl w:val="2"/>
          <w:numId w:val="12"/>
        </w:numPr>
        <w:ind w:left="0" w:firstLine="1440"/>
        <w:jc w:val="both"/>
      </w:pPr>
      <w:r w:rsidRPr="00DF0FB2">
        <w:t>Access will be further controlled by personnel in the scalehouse</w:t>
      </w:r>
      <w:r w:rsidR="000A6E60">
        <w:t xml:space="preserve">, the Leachate Storage Facility, and any </w:t>
      </w:r>
      <w:r>
        <w:t>facilit</w:t>
      </w:r>
      <w:r w:rsidR="000A6E60">
        <w:t>y</w:t>
      </w:r>
      <w:r>
        <w:t xml:space="preserve"> established for the collection and/or storage of </w:t>
      </w:r>
      <w:r w:rsidRPr="000A6E60" w:rsidR="000A6E60">
        <w:t>Household Hazardous Wastes</w:t>
      </w:r>
      <w:r w:rsidR="000A6E60">
        <w:t xml:space="preserve">, each of </w:t>
      </w:r>
      <w:r w:rsidRPr="00DF0FB2">
        <w:t xml:space="preserve">which will be located inside the </w:t>
      </w:r>
      <w:r w:rsidR="000A6E60">
        <w:t>Access Gate</w:t>
      </w:r>
      <w:r w:rsidR="00B20186">
        <w:t>s</w:t>
      </w:r>
      <w:r w:rsidR="000A6E60">
        <w:t>.</w:t>
      </w:r>
    </w:p>
    <w:p w:rsidR="003B6AC4" w:rsidP="003B6AC4" w14:paraId="6294D49B" w14:textId="77777777">
      <w:pPr>
        <w:pStyle w:val="ListParagraph"/>
      </w:pPr>
    </w:p>
    <w:p w:rsidR="00BF654C" w:rsidP="00CB5A0C" w14:paraId="5F0F8A3A" w14:textId="09FB066F">
      <w:pPr>
        <w:pStyle w:val="ListParagraph"/>
        <w:numPr>
          <w:ilvl w:val="2"/>
          <w:numId w:val="12"/>
        </w:numPr>
        <w:ind w:left="0" w:firstLine="1440"/>
        <w:jc w:val="both"/>
      </w:pPr>
      <w:r>
        <w:t xml:space="preserve">Company shall install and maintain </w:t>
      </w:r>
      <w:r w:rsidRPr="008C546C">
        <w:t>appropriate video security</w:t>
      </w:r>
      <w:r>
        <w:t xml:space="preserve"> at the Landfill, which shall capture a </w:t>
      </w:r>
      <w:r w:rsidRPr="008C546C">
        <w:t xml:space="preserve">video record of all entering </w:t>
      </w:r>
      <w:r w:rsidR="00FE2695">
        <w:t xml:space="preserve">rail cars and </w:t>
      </w:r>
      <w:r w:rsidRPr="008C546C">
        <w:t>vehicles.</w:t>
      </w:r>
      <w:r>
        <w:t xml:space="preserve"> Company shall maintain such video recordings for a reasonable period of time, but in any event for at least one (1) year.</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605C7C99">
      <w:pPr>
        <w:pStyle w:val="ListParagraph"/>
        <w:numPr>
          <w:ilvl w:val="2"/>
          <w:numId w:val="12"/>
        </w:numPr>
        <w:ind w:left="0" w:firstLine="1440"/>
        <w:jc w:val="both"/>
      </w:pPr>
      <w:r>
        <w:t>The Parties acknowledge and agree that the primary method of disposal at the Landfill (other than County Waste and Resident Waste) shall be performed by rail. Company shall ensure that the Landfill is accessible by rail car and shall be responsible for all costs and expenses incurred in connection with such access. Such access shall be subject to all applicable Laws.</w:t>
      </w:r>
      <w:r w:rsidR="003C3142">
        <w:t xml:space="preserve"> Company shall permit no more than [</w:t>
      </w:r>
      <w:r w:rsidRPr="00E71018" w:rsidR="003C3142">
        <w:rPr>
          <w:highlight w:val="yellow"/>
        </w:rPr>
        <w:t>●</w:t>
      </w:r>
      <w:r w:rsidR="003C3142">
        <w:t>]</w:t>
      </w:r>
      <w:r>
        <w:rPr>
          <w:rStyle w:val="FootnoteReference"/>
        </w:rPr>
        <w:footnoteReference w:id="9"/>
      </w:r>
      <w:r w:rsidR="003C3142">
        <w:t xml:space="preserve"> trips per day by rail to the Landfill.</w:t>
      </w:r>
    </w:p>
    <w:p w:rsidR="00C430B5" w:rsidP="00C430B5" w14:paraId="17E1F85F" w14:textId="77777777">
      <w:pPr>
        <w:pStyle w:val="ListParagraph"/>
      </w:pPr>
    </w:p>
    <w:p w:rsidR="00C430B5" w:rsidP="00CB5A0C" w14:paraId="588D89FC" w14:textId="17596796">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waste to the Landfill unless the County has approved </w:t>
      </w:r>
      <w:r w:rsidR="008769C6">
        <w:t xml:space="preserve">the routes such trucks will take to the Landfill; and upon such approval, such trucks shall only access the Landfill through such approved routes. </w:t>
      </w:r>
      <w:r w:rsidR="003C3142">
        <w:t xml:space="preserve">As a condition to the County’s approval of any truck route, the County may require Company to pay the cost (or a portion thereof) of road improvements along any proposed route. </w:t>
      </w:r>
      <w:r w:rsidR="008769C6">
        <w:t xml:space="preserve">Subject to the </w:t>
      </w:r>
      <w:r w:rsidR="003C3142">
        <w:t xml:space="preserve">two </w:t>
      </w:r>
      <w:r w:rsidR="008769C6">
        <w:t>immediately preceding sentence</w:t>
      </w:r>
      <w:r w:rsidR="003C3142">
        <w:t>s</w:t>
      </w:r>
      <w:r w:rsidR="008769C6">
        <w:t>, o</w:t>
      </w:r>
      <w:r w:rsidRPr="003B6AC4" w:rsidR="003B6AC4">
        <w:t xml:space="preserve">nly trucks operated by </w:t>
      </w:r>
      <w:r w:rsidR="00E16DE2">
        <w:t xml:space="preserve">or on behalf of the </w:t>
      </w:r>
      <w:r w:rsidR="003B6AC4">
        <w:t xml:space="preserve">Company </w:t>
      </w:r>
      <w:r w:rsidRPr="003B6AC4" w:rsidR="003B6AC4">
        <w:t xml:space="preserve">shall be admitted to the </w:t>
      </w:r>
      <w:r w:rsidR="008C546C">
        <w:t>Landfill</w:t>
      </w:r>
      <w:r w:rsidRPr="003B6AC4" w:rsidR="003B6AC4">
        <w:t xml:space="preserve"> for tipping and </w:t>
      </w:r>
      <w:r w:rsidR="008C546C">
        <w:t xml:space="preserve">Company’s </w:t>
      </w:r>
      <w:r w:rsidRPr="003B6AC4" w:rsidR="003B6AC4">
        <w:t>deliveries shall not exceed an average of two vehicles per hour.</w:t>
      </w:r>
      <w:r w:rsidR="00BF654C">
        <w:t xml:space="preserve"> </w:t>
      </w:r>
      <w:r w:rsidR="003C3142">
        <w:t xml:space="preserve"> Company shall permit no more than [</w:t>
      </w:r>
      <w:r w:rsidRPr="00E71018" w:rsidR="003C3142">
        <w:rPr>
          <w:highlight w:val="yellow"/>
        </w:rPr>
        <w:t>●</w:t>
      </w:r>
      <w:r w:rsidR="003C3142">
        <w:t>]</w:t>
      </w:r>
      <w:r>
        <w:rPr>
          <w:rStyle w:val="FootnoteReference"/>
        </w:rPr>
        <w:footnoteReference w:id="10"/>
      </w:r>
      <w:r w:rsidR="003C3142">
        <w:t xml:space="preserve"> trips per day by commercial truck to the Landfill.</w:t>
      </w:r>
    </w:p>
    <w:p w:rsidR="00C430B5" w:rsidP="00C430B5" w14:paraId="48F37AE3" w14:textId="77777777">
      <w:pPr>
        <w:pStyle w:val="ListParagraph"/>
      </w:pPr>
    </w:p>
    <w:p w:rsidR="003B6AC4" w:rsidP="00CB5A0C" w14:paraId="57F8573B" w14:textId="272BDB6C">
      <w:pPr>
        <w:pStyle w:val="ListParagraph"/>
        <w:numPr>
          <w:ilvl w:val="2"/>
          <w:numId w:val="12"/>
        </w:numPr>
        <w:ind w:left="0" w:firstLine="1440"/>
        <w:jc w:val="both"/>
      </w:pPr>
      <w:r w:rsidRPr="00BF654C">
        <w:t>Private cars and pickup trucks shall be directed to a special disposal area away from the active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7A3EE7" w:rsidRPr="007A3EE7" w:rsidP="007A3EE7" w14:paraId="63A3B19D" w14:textId="77777777">
      <w:pPr>
        <w:pStyle w:val="ListParagraph"/>
        <w:jc w:val="both"/>
      </w:pPr>
    </w:p>
    <w:p w:rsidR="00B54086" w:rsidP="00B54086" w14:paraId="79BD0284" w14:textId="60D80966">
      <w:pPr>
        <w:pStyle w:val="ListParagraph"/>
        <w:numPr>
          <w:ilvl w:val="1"/>
          <w:numId w:val="12"/>
        </w:numPr>
        <w:ind w:left="0" w:firstLine="720"/>
        <w:jc w:val="both"/>
      </w:pPr>
      <w:r w:rsidRPr="00B54086">
        <w:rPr>
          <w:u w:val="single"/>
        </w:rPr>
        <w:t>Recycling</w:t>
      </w:r>
      <w:r>
        <w:t xml:space="preserve">. Company shall </w:t>
      </w:r>
      <w:r w:rsidRPr="00B54086">
        <w:t>construct, permit, operate and maintain a recycling drop-off center at the Landfill (</w:t>
      </w:r>
      <w:r>
        <w:t xml:space="preserve">the </w:t>
      </w:r>
      <w:r w:rsidRPr="00B54086">
        <w:t>“</w:t>
      </w:r>
      <w:r w:rsidRPr="00B54086">
        <w:rPr>
          <w:b/>
          <w:bCs/>
        </w:rPr>
        <w:t>Recycling Center</w:t>
      </w:r>
      <w:r w:rsidRPr="00B54086">
        <w:t xml:space="preserve">”) </w:t>
      </w:r>
      <w:r>
        <w:t xml:space="preserve">for </w:t>
      </w:r>
      <w:r w:rsidRPr="00B54086">
        <w:t>the recycling</w:t>
      </w:r>
      <w:r>
        <w:t xml:space="preserve"> of applicable Acceptable Wastes</w:t>
      </w:r>
      <w:r w:rsidRPr="00B54086">
        <w:t xml:space="preserve">, </w:t>
      </w:r>
      <w:r>
        <w:t xml:space="preserve">including </w:t>
      </w:r>
      <w:r w:rsidRPr="00B54086">
        <w:t>newspapers, mixed paper, magazines and catalogs, aluminum cans, steel and tin cans, glass, plastic bottles, metals</w:t>
      </w:r>
      <w:r>
        <w:t xml:space="preserve">, and cardboard. The Recycling Center shall be open on the same days and during the same hours as the Landfill. Company shall </w:t>
      </w:r>
      <w:r w:rsidR="007C72A0">
        <w:t>make arrangements</w:t>
      </w:r>
      <w:r>
        <w:t xml:space="preserve"> for the recycling of the waste delivered to the Recycling Center. Company shall comply with all Laws applicable to the Recycling Center and the recycling of the waste delivered thereto</w:t>
      </w:r>
      <w:r w:rsidR="007C72A0">
        <w:t>.</w:t>
      </w:r>
    </w:p>
    <w:p w:rsidR="008769C6" w:rsidP="008769C6" w14:paraId="6424466B" w14:textId="77777777">
      <w:pPr>
        <w:pStyle w:val="ListParagraph"/>
      </w:pPr>
    </w:p>
    <w:p w:rsidR="008769C6" w:rsidRPr="005D1C4D" w:rsidP="00B54086" w14:paraId="5AED7EBF" w14:textId="1B575626">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Board 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723A1691">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AD7783">
        <w:t>Company shall ensure that all</w:t>
      </w:r>
      <w:r>
        <w:t xml:space="preserve"> areas of the </w:t>
      </w:r>
      <w:r w:rsidRPr="000F12E1">
        <w:t xml:space="preserve">Landfill which are used for the disposal of waste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Law</w:t>
      </w:r>
      <w:r w:rsidR="00A31568">
        <w:t>s</w:t>
      </w:r>
      <w:r>
        <w:t>.</w:t>
      </w:r>
      <w:r w:rsidR="00AF3E6D">
        <w:t xml:space="preserve"> </w:t>
      </w:r>
      <w:r w:rsidR="00AD7783">
        <w:t>In addition, t</w:t>
      </w:r>
      <w:r w:rsidR="00AF3E6D">
        <w:t>he operational areas of the Landfill shall be sited:</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7D56C736">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77777777">
      <w:pPr>
        <w:pStyle w:val="ListParagraph"/>
        <w:numPr>
          <w:ilvl w:val="0"/>
          <w:numId w:val="16"/>
        </w:numPr>
        <w:ind w:left="0" w:firstLine="720"/>
        <w:jc w:val="both"/>
      </w:pPr>
      <w:r w:rsidRPr="004C7B13">
        <w:rPr>
          <w:u w:val="single"/>
        </w:rPr>
        <w:t>Site Drainage</w:t>
      </w:r>
      <w:r w:rsidRPr="004C7B13">
        <w:t xml:space="preserve">. </w:t>
      </w:r>
      <w:r>
        <w:t>Company shall</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4BDCFBC">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Law) </w:t>
      </w:r>
      <w:r w:rsidRPr="000E0B39">
        <w:t>will be considered a violation of this Agreement.</w:t>
      </w:r>
    </w:p>
    <w:p w:rsidR="000E0B39" w:rsidRPr="00AF682B" w:rsidP="00815A92" w14:paraId="3D4CDE77" w14:textId="02E30E15">
      <w:pPr>
        <w:jc w:val="both"/>
      </w:pPr>
    </w:p>
    <w:p w:rsidR="00FD5B53" w:rsidRPr="00053DD0" w:rsidP="00CB5A0C" w14:paraId="0C31C18B" w14:textId="2800D6D2">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a </w:t>
      </w:r>
      <w:r w:rsidRPr="00FD5B53">
        <w:t xml:space="preserve">leachate </w:t>
      </w:r>
      <w:r w:rsidR="003A5482">
        <w:t xml:space="preserve">leak </w:t>
      </w:r>
      <w:r w:rsidRPr="00FD5B53">
        <w:t>detection system</w:t>
      </w:r>
      <w:r w:rsidR="003A5482">
        <w:t xml:space="preserve">, a leachate management system, </w:t>
      </w:r>
      <w:r w:rsidRPr="00FD5B53">
        <w:t xml:space="preserve">and </w:t>
      </w:r>
      <w:r>
        <w:t xml:space="preserve">the </w:t>
      </w:r>
      <w:r w:rsidRPr="00FD5B53">
        <w:t>Leachate Storage Facility</w:t>
      </w:r>
      <w:r>
        <w:t xml:space="preserve"> at the Landfill. The leachate detection system shall be sufficient to test water quality parameters for the presence of leachate</w:t>
      </w:r>
      <w:r w:rsidR="00053DD0">
        <w:t xml:space="preserve"> on a continuous</w:t>
      </w:r>
      <w:r w:rsidR="007C72A0">
        <w:t xml:space="preserve"> basis</w:t>
      </w:r>
      <w:r>
        <w:t xml:space="preserve">. The Leachate Storage Facility shall be sufficient to </w:t>
      </w:r>
      <w:r w:rsidR="00053DD0">
        <w:t xml:space="preserve">store leachate </w:t>
      </w:r>
      <w:r w:rsidRPr="00053DD0" w:rsidR="00053DD0">
        <w:t>for up to ninety (90) days</w:t>
      </w:r>
      <w:r w:rsidR="00053DD0">
        <w:t xml:space="preserve">, or such longer period as may be required by VDEQ or applicable Law.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6059E1FA">
      <w:pPr>
        <w:pStyle w:val="ListParagraph"/>
        <w:numPr>
          <w:ilvl w:val="0"/>
          <w:numId w:val="16"/>
        </w:numPr>
        <w:ind w:left="0" w:firstLine="720"/>
        <w:jc w:val="both"/>
      </w:pPr>
      <w:r w:rsidRPr="00053DD0">
        <w:rPr>
          <w:u w:val="single"/>
        </w:rPr>
        <w:t>Groundwater Sampling and Testing</w:t>
      </w:r>
      <w:r w:rsidRPr="00053DD0">
        <w:t xml:space="preserve">. </w:t>
      </w:r>
      <w:r>
        <w:t>Company shall construct and maintain m</w:t>
      </w:r>
      <w:r w:rsidRPr="00053DD0">
        <w:t xml:space="preserve">onitoring wells around the perimeter of the Landfill (and within the buffer areas) with the locations of said wells to be approved by </w:t>
      </w:r>
      <w:r>
        <w:t>V</w:t>
      </w:r>
      <w:r w:rsidRPr="00053DD0">
        <w:t xml:space="preserve">DEQ prior to their construction. All drilling logs will be retained and made available at the County’s request. Beginning with the execution of this Agreement, or as soon thereafter as practicable,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1C0BAA60">
      <w:pPr>
        <w:pStyle w:val="ListParagraph"/>
        <w:numPr>
          <w:ilvl w:val="0"/>
          <w:numId w:val="16"/>
        </w:numPr>
        <w:ind w:left="0" w:firstLine="720"/>
        <w:jc w:val="both"/>
      </w:pPr>
      <w:r w:rsidRPr="00053DD0">
        <w:rPr>
          <w:u w:val="single"/>
        </w:rPr>
        <w:t>Surface Water Sampling and Testing</w:t>
      </w:r>
      <w:r w:rsidRPr="00053DD0">
        <w:t xml:space="preserve">. </w:t>
      </w:r>
      <w:r w:rsidR="008111D5">
        <w:t xml:space="preserve">On a quarterly basis,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C2EC6" w:rsidRPr="00053DD0" w:rsidP="00CB5A0C" w14:paraId="72EB3D81" w14:textId="720E58A7">
      <w:pPr>
        <w:pStyle w:val="ListParagraph"/>
        <w:numPr>
          <w:ilvl w:val="0"/>
          <w:numId w:val="16"/>
        </w:numPr>
        <w:ind w:left="0" w:firstLine="720"/>
        <w:jc w:val="both"/>
      </w:pPr>
      <w:r w:rsidRPr="00CC2EC6">
        <w:rPr>
          <w:u w:val="single"/>
        </w:rPr>
        <w:t>Residential Water Monitoring</w:t>
      </w:r>
      <w:r w:rsidRPr="00CC2EC6">
        <w:t xml:space="preserve">. </w:t>
      </w:r>
      <w:r>
        <w:t xml:space="preserve">Company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61AEA33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shall keep records of waste received and the County shall have the right to inspect and audit the same insofar as they pertain to the operation of the Landfill. The records shall show the type, weight, source and volume of waste received; deviations made from the plan of operation; those parts of the Landfill currently used; receipt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06424291">
      <w:pPr>
        <w:pStyle w:val="ListParagraph"/>
        <w:numPr>
          <w:ilvl w:val="0"/>
          <w:numId w:val="14"/>
        </w:numPr>
        <w:ind w:left="0" w:firstLine="720"/>
        <w:jc w:val="both"/>
      </w:pPr>
      <w:r w:rsidRPr="00963438">
        <w:rPr>
          <w:u w:val="single"/>
        </w:rPr>
        <w:t>Information Sessions</w:t>
      </w:r>
      <w:r>
        <w:t>. At the County’s request, but no more than monthly, Company shall meet with the Board or its designee to discuss Landfill operations, compliance issues or reports, complaints, resolutions, and other matters requested by the Board.</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6DCCB330">
      <w:pPr>
        <w:pStyle w:val="ListParagraph"/>
        <w:numPr>
          <w:ilvl w:val="0"/>
          <w:numId w:val="14"/>
        </w:numPr>
        <w:ind w:left="0" w:firstLine="720"/>
        <w:jc w:val="both"/>
      </w:pPr>
      <w:r w:rsidRPr="003B104F">
        <w:rPr>
          <w:u w:val="single"/>
        </w:rPr>
        <w:t>Annual Certificate</w:t>
      </w:r>
      <w:r>
        <w:t xml:space="preserve">. Company </w:t>
      </w:r>
      <w:r w:rsidRPr="003B104F">
        <w:t xml:space="preserve">shall prepare </w:t>
      </w:r>
      <w:r w:rsidR="000E0B39">
        <w:t xml:space="preserve">and issue to the County </w:t>
      </w:r>
      <w:r w:rsidRPr="003B104F">
        <w:t>a</w:t>
      </w:r>
      <w:r>
        <w:t xml:space="preserve">n annual </w:t>
      </w:r>
      <w:r w:rsidRPr="003B104F">
        <w:t xml:space="preserve">certificate of its Landfill operations showing annual tonnages and receipts issued by </w:t>
      </w:r>
      <w:r w:rsidR="000E0B39">
        <w:t>Company</w:t>
      </w:r>
      <w:r w:rsidRPr="003B104F">
        <w:t xml:space="preserve">. </w:t>
      </w:r>
      <w:r w:rsidR="006469B7">
        <w:t>Company</w:t>
      </w:r>
      <w:r w:rsidRPr="003B104F">
        <w:t xml:space="preserve"> shall deliver such certificate 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certificate 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5B950AE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he Landfill Liaison’s duties shall include monitoring and inspection of waste disposal practices at the Landfill and monitoring all requirements of this Agreemen</w:t>
      </w:r>
      <w:r>
        <w:t>t, applicable Law,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E21C76" w14:paraId="5DE837EF" w14:textId="77777777">
      <w:pPr>
        <w:pStyle w:val="ListParagraph"/>
        <w:ind w:left="2160"/>
        <w:jc w:val="both"/>
      </w:pPr>
    </w:p>
    <w:p w:rsidR="00E21C76" w:rsidP="00CB5A0C" w14:paraId="1CCE0754" w14:textId="77777777">
      <w:pPr>
        <w:pStyle w:val="ListParagraph"/>
        <w:numPr>
          <w:ilvl w:val="1"/>
          <w:numId w:val="24"/>
        </w:numPr>
        <w:ind w:left="0" w:firstLine="2160"/>
        <w:jc w:val="both"/>
      </w:pPr>
      <w:r w:rsidRPr="00E21C76">
        <w:t>stop any vehicle entering the Landfill and inspect the same;</w:t>
      </w:r>
    </w:p>
    <w:p w:rsidR="00E21C76" w:rsidP="00E21C76" w14:paraId="26FBE7E0" w14:textId="77777777">
      <w:pPr>
        <w:pStyle w:val="ListParagraph"/>
      </w:pPr>
    </w:p>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4D31798F">
      <w:pPr>
        <w:pStyle w:val="ListParagraph"/>
        <w:numPr>
          <w:ilvl w:val="1"/>
          <w:numId w:val="24"/>
        </w:numPr>
        <w:ind w:left="0" w:firstLine="2160"/>
        <w:jc w:val="both"/>
      </w:pPr>
      <w:r>
        <w:t>participate in or observe the taking of all samples required under this Agreement or by applicable Law;</w:t>
      </w:r>
      <w:r w:rsidRPr="00E21C76">
        <w:t xml:space="preserve"> </w:t>
      </w:r>
      <w:r>
        <w:t xml:space="preserve">and Company </w:t>
      </w:r>
      <w:r w:rsidRPr="00E21C76">
        <w:t>shall not take any sample of waste, surface water or groundwater without first offering the Landfill Liaison an opportunity to participate in such sampling</w:t>
      </w:r>
      <w:r>
        <w:t>;</w:t>
      </w:r>
    </w:p>
    <w:p w:rsidR="00E21C76" w:rsidP="00E21C76" w14:paraId="7E56A6FD" w14:textId="77777777">
      <w:pPr>
        <w:pStyle w:val="ListParagraph"/>
      </w:pPr>
    </w:p>
    <w:p w:rsidR="00333CBC" w:rsidP="00CB5A0C" w14:paraId="20A00CA7" w14:textId="422DF81A">
      <w:pPr>
        <w:pStyle w:val="ListParagraph"/>
        <w:numPr>
          <w:ilvl w:val="1"/>
          <w:numId w:val="24"/>
        </w:numPr>
        <w:ind w:left="0" w:firstLine="2160"/>
        <w:jc w:val="both"/>
      </w:pPr>
      <w:r w:rsidRPr="00E21C76">
        <w:t>take such independent tests of waste, surface water, groundwater or otherwise as the Landfill Liaison deems appropriate</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25D755C3">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70226E" w:rsidP="0070226E" w14:paraId="5101DD59" w14:textId="77777777">
      <w:pPr>
        <w:pStyle w:val="ListParagraph"/>
        <w:jc w:val="both"/>
      </w:pPr>
    </w:p>
    <w:p w:rsidR="0070226E" w:rsidRPr="0070226E" w:rsidP="0070226E" w14:paraId="1938746E" w14:textId="412953CD">
      <w:pPr>
        <w:pStyle w:val="ListParagraph"/>
        <w:numPr>
          <w:ilvl w:val="0"/>
          <w:numId w:val="23"/>
        </w:numPr>
        <w:ind w:left="0" w:firstLine="720"/>
        <w:jc w:val="both"/>
        <w:rPr>
          <w:b/>
          <w:bCs/>
        </w:rPr>
      </w:pPr>
      <w:r w:rsidRPr="00065BE8">
        <w:rPr>
          <w:u w:val="single"/>
        </w:rPr>
        <w:t>Landfill Liaison</w:t>
      </w:r>
      <w:r>
        <w:rPr>
          <w:u w:val="single"/>
        </w:rPr>
        <w:t xml:space="preserve"> Reimbursement</w:t>
      </w:r>
      <w:r>
        <w:t xml:space="preserve">. Company </w:t>
      </w:r>
      <w:r w:rsidRPr="00065BE8">
        <w:t>will reimburse the County</w:t>
      </w:r>
      <w:r>
        <w:t xml:space="preserve"> </w:t>
      </w:r>
      <w:r w:rsidRPr="006A63C9">
        <w:t>$</w:t>
      </w:r>
      <w:r>
        <w:t>[</w:t>
      </w:r>
      <w:r w:rsidRPr="00333CBC">
        <w:rPr>
          <w:highlight w:val="yellow"/>
        </w:rPr>
        <w:t>●</w:t>
      </w:r>
      <w:r>
        <w:t>]</w:t>
      </w:r>
      <w:r>
        <w:rPr>
          <w:rStyle w:val="FootnoteReference"/>
        </w:rPr>
        <w:footnoteReference w:id="11"/>
      </w:r>
      <w:r>
        <w:t xml:space="preserve"> </w:t>
      </w:r>
      <w:r w:rsidRPr="00065BE8">
        <w:t xml:space="preserve">per annum to defray costs and expenses of employing a </w:t>
      </w:r>
      <w:r>
        <w:t xml:space="preserve">the County’s </w:t>
      </w:r>
      <w:r w:rsidRPr="00065BE8">
        <w:t>Landfill Liaison</w:t>
      </w:r>
      <w:r>
        <w:t xml:space="preserve"> (the “</w:t>
      </w:r>
      <w:r w:rsidRPr="0070226E">
        <w:rPr>
          <w:b/>
          <w:bCs/>
        </w:rPr>
        <w:t>Landfill Liaison Reimbursement</w:t>
      </w:r>
      <w:r>
        <w:t>”)</w:t>
      </w:r>
      <w:r w:rsidRPr="00065BE8">
        <w:t xml:space="preserve">. The amount of reimbursement shall be adjusted annually in January of each year based on the </w:t>
      </w:r>
      <w:r>
        <w:t>CPI</w:t>
      </w:r>
      <w:r w:rsidRPr="00065BE8">
        <w:t xml:space="preserve"> for the preceding year. The Landfill Liaison shall be a County employee or independent contractor, and shall not be an employee or contractor of </w:t>
      </w:r>
      <w:r>
        <w:t>Company.</w:t>
      </w:r>
      <w:r w:rsidR="007A3EE7">
        <w:t xml:space="preserve"> The Landfill Liaison Reimbursement shall be due by January 30 each year.</w:t>
      </w:r>
      <w:r w:rsidR="00E11054">
        <w:t xml:space="preserve"> </w:t>
      </w:r>
    </w:p>
    <w:p w:rsidR="0070226E" w:rsidRPr="0070226E" w:rsidP="0070226E" w14:paraId="440A51EE" w14:textId="77777777">
      <w:pPr>
        <w:pStyle w:val="ListParagraph"/>
        <w:rPr>
          <w:b/>
          <w:bCs/>
        </w:rPr>
      </w:pPr>
    </w:p>
    <w:p w:rsidR="007A3EE7" w:rsidRPr="007A3EE7" w:rsidP="007A3EE7" w14:paraId="6CC1611C" w14:textId="0FEECC40">
      <w:pPr>
        <w:pStyle w:val="ListParagraph"/>
        <w:numPr>
          <w:ilvl w:val="0"/>
          <w:numId w:val="23"/>
        </w:numPr>
        <w:ind w:left="0" w:firstLine="720"/>
        <w:jc w:val="both"/>
        <w:rPr>
          <w:b/>
          <w:bCs/>
        </w:rPr>
      </w:pPr>
      <w:r w:rsidRPr="007A3EE7">
        <w:rPr>
          <w:u w:val="single"/>
        </w:rPr>
        <w:t>Monitoring and Inspection Reimbursement</w:t>
      </w:r>
      <w:r>
        <w:t xml:space="preserve">. Company </w:t>
      </w:r>
      <w:r w:rsidRPr="00065BE8">
        <w:t>will reimburse the County</w:t>
      </w:r>
      <w:r>
        <w:t xml:space="preserve"> up to </w:t>
      </w:r>
      <w:r w:rsidRPr="006A63C9">
        <w:t>$</w:t>
      </w:r>
      <w:r>
        <w:t>[</w:t>
      </w:r>
      <w:r w:rsidRPr="007A3EE7">
        <w:rPr>
          <w:highlight w:val="yellow"/>
        </w:rPr>
        <w:t>●</w:t>
      </w:r>
      <w:r>
        <w:t>]</w:t>
      </w:r>
      <w:r>
        <w:rPr>
          <w:rStyle w:val="FootnoteReference"/>
        </w:rPr>
        <w:footnoteReference w:id="12"/>
      </w:r>
      <w:r>
        <w:t xml:space="preserve"> </w:t>
      </w:r>
      <w:r w:rsidRPr="00065BE8">
        <w:t xml:space="preserve">per annum to defray costs and expenses of </w:t>
      </w:r>
      <w:r>
        <w:t xml:space="preserve">the County’s </w:t>
      </w:r>
      <w:r>
        <w:t xml:space="preserve">monitoring and inspection activities </w:t>
      </w:r>
      <w:r>
        <w:t>(the “</w:t>
      </w:r>
      <w:r w:rsidRPr="007A3EE7">
        <w:rPr>
          <w:b/>
          <w:bCs/>
        </w:rPr>
        <w:t xml:space="preserve">Monitoring and Inspection </w:t>
      </w:r>
      <w:r w:rsidRPr="007A3EE7">
        <w:rPr>
          <w:b/>
          <w:bCs/>
        </w:rPr>
        <w:t>Reimbursement</w:t>
      </w:r>
      <w:r>
        <w:t>”)</w:t>
      </w:r>
      <w:r>
        <w:t xml:space="preserve"> (without duplication of the Landfill Liaison Reimbursement)</w:t>
      </w:r>
      <w:r w:rsidRPr="00065BE8">
        <w:t xml:space="preserve">. The amount of reimbursement shall be adjusted annually in January of each year based on the </w:t>
      </w:r>
      <w:r>
        <w:t>CPI</w:t>
      </w:r>
      <w:r w:rsidRPr="00065BE8">
        <w:t xml:space="preserve"> for the preceding year. </w:t>
      </w:r>
      <w:r>
        <w:t xml:space="preserve">The Company shall present documentation of its monitoring and inspection expenses by January 10 of each year so that the Parties can determine the amount of the </w:t>
      </w:r>
      <w:r w:rsidRPr="007A3EE7">
        <w:t>Monitoring and Inspection Reimbursement</w:t>
      </w:r>
      <w:r>
        <w:t xml:space="preserve">. The </w:t>
      </w:r>
      <w:r w:rsidRPr="007A3EE7">
        <w:t>Monitoring and Inspection Reimbursement</w:t>
      </w:r>
      <w:r>
        <w:t xml:space="preserve"> shall be due by January 30 of each year.</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00ADD2C4">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 or used in connection therewith.</w:t>
      </w:r>
    </w:p>
    <w:p w:rsidR="004B1574" w:rsidRPr="004B1574" w:rsidP="004B1574" w14:paraId="7092F5F6" w14:textId="77777777">
      <w:pPr>
        <w:pStyle w:val="ListParagraph"/>
        <w:jc w:val="both"/>
        <w:rPr>
          <w:b/>
          <w:bCs/>
        </w:rPr>
      </w:pPr>
    </w:p>
    <w:p w:rsidR="00815A92" w:rsidRPr="00815A92" w:rsidP="00CB5A0C" w14:paraId="521258F0" w14:textId="77777777">
      <w:pPr>
        <w:pStyle w:val="ListParagraph"/>
        <w:numPr>
          <w:ilvl w:val="0"/>
          <w:numId w:val="18"/>
        </w:numPr>
        <w:ind w:left="0" w:firstLine="720"/>
        <w:jc w:val="both"/>
        <w:rPr>
          <w:b/>
          <w:bCs/>
        </w:rPr>
      </w:pPr>
      <w:r w:rsidRPr="00815A92">
        <w:rPr>
          <w:u w:val="single"/>
        </w:rPr>
        <w:t>Damage to Surrounding Infrastructure</w:t>
      </w:r>
      <w:r>
        <w:t xml:space="preserve">. </w:t>
      </w:r>
      <w:r w:rsidR="004B1574">
        <w:t xml:space="preserve">To the extent trucks or rail cars </w:t>
      </w:r>
      <w:r w:rsidR="00A97995">
        <w:t xml:space="preserve">delivering or </w:t>
      </w:r>
      <w:r w:rsidR="004B1574">
        <w:t xml:space="preserve">hauling </w:t>
      </w:r>
      <w:r w:rsidR="00A97995">
        <w:t>waste to or from the Landfill cause damage to the surrounding roads, rail, or other infrastructure, Company agrees to participate equitably in the repairs of such damage.</w:t>
      </w:r>
    </w:p>
    <w:p w:rsidR="00815A92" w:rsidRPr="00815A92" w:rsidP="00815A92" w14:paraId="24EAE26E" w14:textId="77777777">
      <w:pPr>
        <w:pStyle w:val="ListParagraph"/>
        <w:rPr>
          <w:u w:val="single"/>
        </w:rPr>
      </w:pPr>
    </w:p>
    <w:p w:rsidR="00815A92" w:rsidRPr="00815A92" w:rsidP="00CB5A0C" w14:paraId="0727EC6A" w14:textId="4BCD79B9">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 problems.</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A31568">
        <w:rPr>
          <w:u w:val="single"/>
        </w:rPr>
        <w:t>3</w:t>
      </w:r>
      <w:r>
        <w:t>.</w:t>
      </w:r>
    </w:p>
    <w:p w:rsidR="00815A92" w:rsidRPr="00815A92" w:rsidP="00815A92" w14:paraId="21A54ADE" w14:textId="77777777">
      <w:pPr>
        <w:pStyle w:val="ListParagraph"/>
        <w:rPr>
          <w:u w:val="single"/>
        </w:rPr>
      </w:pPr>
    </w:p>
    <w:p w:rsidR="00815A92" w:rsidRPr="00815A92" w:rsidP="00CB5A0C" w14:paraId="3453EA3D" w14:textId="698DFCCB">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noise levels associated with operations </w:t>
      </w:r>
      <w:r>
        <w:t xml:space="preserve">of the Landfill </w:t>
      </w:r>
      <w:r w:rsidRPr="00A456FB">
        <w:t xml:space="preserve">from exceeding 67 decibels (not including ambient noise) when measured at the property line of the </w:t>
      </w:r>
      <w:r>
        <w:t xml:space="preserve">Landfill </w:t>
      </w:r>
      <w:r w:rsidRPr="00A456FB">
        <w:t xml:space="preserve">site (not including the normal sounds of trucks entering the site). No external speakers shall be </w:t>
      </w:r>
      <w:r>
        <w:t xml:space="preserve">permitted </w:t>
      </w:r>
      <w:r w:rsidRPr="00A456FB">
        <w:t>at the Landfill.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5504AEDD">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Upon the County’s request, </w:t>
      </w:r>
      <w:r w:rsidR="007C72A0">
        <w:t xml:space="preserve">from time to time, </w:t>
      </w:r>
      <w:r w:rsidR="00054596">
        <w:t xml:space="preserve">Company shall increase the coverage limits of any or all Required Insurance Policies by a reasonable amount </w:t>
      </w:r>
      <w:r w:rsidR="004B1574">
        <w:t>or to comply with applicable Laws or Required Authorizations (as may be amended from time to time).</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43F7A74E">
      <w:pPr>
        <w:pStyle w:val="ListParagraph"/>
        <w:numPr>
          <w:ilvl w:val="1"/>
          <w:numId w:val="22"/>
        </w:numPr>
        <w:ind w:left="0" w:firstLine="2160"/>
        <w:jc w:val="both"/>
        <w:rPr>
          <w:b/>
          <w:bCs/>
        </w:rPr>
      </w:pPr>
      <w:r>
        <w:t>maintain a closure bond 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6B5FAF3A">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p>
    <w:p w:rsidR="00A911DF" w:rsidRPr="00E33573" w:rsidP="00E33573" w14:paraId="2D304793" w14:textId="77777777">
      <w:pPr>
        <w:pStyle w:val="ListParagraph"/>
        <w:ind w:left="2160"/>
        <w:jc w:val="both"/>
      </w:pPr>
    </w:p>
    <w:p w:rsidR="00A911DF" w:rsidRPr="00E33573" w:rsidP="00CB5A0C" w14:paraId="50D241B9" w14:textId="2A1A6984">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 and</w:t>
      </w:r>
    </w:p>
    <w:p w:rsidR="00A911DF" w:rsidRPr="00E33573" w:rsidP="00E33573" w14:paraId="1D9D75EB" w14:textId="77777777">
      <w:pPr>
        <w:pStyle w:val="ListParagraph"/>
        <w:ind w:left="2160"/>
        <w:jc w:val="both"/>
      </w:pPr>
    </w:p>
    <w:p w:rsidR="00E33573" w:rsidRPr="00E33573" w:rsidP="00CB5A0C" w14:paraId="1E5C0CA5" w14:textId="7493111F">
      <w:pPr>
        <w:pStyle w:val="ListParagraph"/>
        <w:numPr>
          <w:ilvl w:val="1"/>
          <w:numId w:val="22"/>
        </w:numPr>
        <w:ind w:left="0" w:firstLine="2160"/>
        <w:jc w:val="both"/>
        <w:rPr>
          <w:b/>
          <w:bCs/>
        </w:rPr>
      </w:pPr>
      <w:r>
        <w:t>on an annual basis, permit the County, or its third party consultants, to conduct a review of the sufficiency of such financial assurances; and, in the event the County, as a result of such review, determines that such financial assurances are inadequate</w:t>
      </w:r>
      <w:r w:rsidR="00BE2C90">
        <w:t>, Company shall, within ninety (90) days of such determination, increase its financial assurance mechanism to the satisfaction of the County.</w:t>
      </w:r>
    </w:p>
    <w:p w:rsidR="00E33573" w:rsidRPr="00E33573" w:rsidP="00E33573" w14:paraId="58FF717E" w14:textId="77777777">
      <w:pPr>
        <w:pStyle w:val="ListParagraph"/>
        <w:rPr>
          <w:b/>
          <w:bCs/>
        </w:rPr>
      </w:pPr>
    </w:p>
    <w:p w:rsidR="00E33573" w:rsidRPr="00E33573" w:rsidP="00CB5A0C" w14:paraId="4904D22A" w14:textId="5053F7CA">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an entity or an institution approved by the County</w:t>
      </w:r>
      <w:r>
        <w:t xml:space="preserve">. Company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in order to satisfy Company’s obligations hereunder. </w:t>
      </w:r>
      <w:r w:rsidRPr="0062668B" w:rsidR="0062668B">
        <w:t xml:space="preserve">In the event that any federal or state agency or authority shall require </w:t>
      </w:r>
      <w:r w:rsidR="0062668B">
        <w:t xml:space="preserve">Company </w:t>
      </w:r>
      <w:r w:rsidRPr="0062668B" w:rsidR="0062668B">
        <w:t xml:space="preserve">to maintain a similar </w:t>
      </w:r>
      <w:r w:rsidR="0062668B">
        <w:t xml:space="preserve">Performance </w:t>
      </w:r>
      <w:r w:rsidRPr="0062668B" w:rsidR="0062668B">
        <w:t xml:space="preserve">Bond for the Landfill during the </w:t>
      </w:r>
      <w:r w:rsidR="0062668B">
        <w:t>T</w:t>
      </w:r>
      <w:r w:rsidRPr="0062668B" w:rsidR="0062668B">
        <w:t xml:space="preserve">erm, </w:t>
      </w:r>
      <w:r w:rsidR="0062668B">
        <w:t xml:space="preserve">Company may </w:t>
      </w:r>
      <w:r w:rsidRPr="0062668B" w:rsidR="0062668B">
        <w:t>submit th</w:t>
      </w:r>
      <w:r w:rsidR="0062668B">
        <w:t xml:space="preserve">e Performance </w:t>
      </w:r>
      <w:r w:rsidRPr="0062668B" w:rsidR="0062668B">
        <w:t xml:space="preserve">Bond for satisfaction of such requirements and the County shall agree to reasonable modifications of the </w:t>
      </w:r>
      <w:r w:rsidR="0062668B">
        <w:t xml:space="preserve">Performance </w:t>
      </w:r>
      <w:r w:rsidRPr="0062668B" w:rsidR="0062668B">
        <w:t>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4C5DDAA6">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Laws, including, without limitation, </w:t>
      </w:r>
      <w:r w:rsidRPr="005D0376">
        <w:t>9VAC20-81-</w:t>
      </w:r>
      <w:r>
        <w:t>1</w:t>
      </w:r>
      <w:r w:rsidRPr="005D0376">
        <w:t>60</w:t>
      </w:r>
      <w:r>
        <w:t>.</w:t>
      </w:r>
      <w:r w:rsidR="00775A2B">
        <w:t xml:space="preserve"> Company shall provide its closure plan (as may be reasonably amended to comply with applicable Law or take into consideration any changes permitted hereunder) to the County no less than two (2) years prior to the anticipated closure of the Landfill.</w:t>
      </w:r>
    </w:p>
    <w:p w:rsidR="005D0376" w:rsidRPr="005D0376" w:rsidP="005D0376" w14:paraId="5A1A0AE0" w14:textId="77777777">
      <w:pPr>
        <w:pStyle w:val="ListParagraph"/>
        <w:rPr>
          <w:b/>
          <w:bCs/>
        </w:rPr>
      </w:pPr>
    </w:p>
    <w:p w:rsidR="005D0376" w:rsidRPr="00EF5E2C" w:rsidP="00CB5A0C" w14:paraId="0913DD36" w14:textId="60077776">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 under applicable Law, including, without limitation, the requirements of 9VAC20-81-170.</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0106C114">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Regulations and other applicable Law.</w:t>
      </w:r>
    </w:p>
    <w:p w:rsidR="007007AA" w:rsidP="007007AA" w14:paraId="251C93F1" w14:textId="77777777">
      <w:pPr>
        <w:pStyle w:val="ListParagraph"/>
      </w:pPr>
    </w:p>
    <w:p w:rsidR="007007AA" w:rsidP="00CB5A0C" w14:paraId="4A291522" w14:textId="1EB17F38">
      <w:pPr>
        <w:pStyle w:val="ListParagraph"/>
        <w:numPr>
          <w:ilvl w:val="0"/>
          <w:numId w:val="20"/>
        </w:numPr>
        <w:ind w:left="0" w:firstLine="720"/>
        <w:jc w:val="both"/>
      </w:pPr>
      <w:r>
        <w:t>Company s</w:t>
      </w:r>
      <w:r w:rsidRPr="007007AA">
        <w:t xml:space="preserve">hall not change key personnel without </w:t>
      </w:r>
      <w:r>
        <w:t xml:space="preserve">notice to and consent from the County and </w:t>
      </w:r>
      <w:r w:rsidRPr="007007AA">
        <w:t>the Director</w:t>
      </w:r>
      <w:r>
        <w:t xml:space="preserve"> of VDEQ.</w:t>
      </w:r>
      <w:r w:rsidR="007307FB">
        <w:t xml:space="preserve"> For purposes of this Agreement, “key personnel” shall include, without limitation, the following persons: [</w:t>
      </w:r>
      <w:r w:rsidRPr="007307FB" w:rsidR="007307FB">
        <w:rPr>
          <w:highlight w:val="yellow"/>
        </w:rPr>
        <w:t>●</w:t>
      </w:r>
      <w:r w:rsidR="007307FB">
        <w:t>].</w:t>
      </w:r>
      <w:r>
        <w:rPr>
          <w:rStyle w:val="FootnoteReference"/>
        </w:rPr>
        <w:footnoteReference w:id="13"/>
      </w:r>
    </w:p>
    <w:p w:rsidR="007007AA" w:rsidP="007007AA" w14:paraId="72CD6A8C" w14:textId="77777777">
      <w:pPr>
        <w:pStyle w:val="ListParagraph"/>
      </w:pPr>
    </w:p>
    <w:p w:rsidR="007007AA" w:rsidRPr="004E5D17" w:rsidP="00CB5A0C" w14:paraId="471B064C" w14:textId="44B07FCA">
      <w:pPr>
        <w:pStyle w:val="ListParagraph"/>
        <w:numPr>
          <w:ilvl w:val="0"/>
          <w:numId w:val="20"/>
        </w:numPr>
        <w:ind w:left="0" w:firstLine="720"/>
        <w:jc w:val="both"/>
      </w:pPr>
      <w:r>
        <w:t xml:space="preserve">Company shall </w:t>
      </w:r>
      <w:r w:rsidRPr="007007AA">
        <w:t>not</w:t>
      </w:r>
      <w:r>
        <w:t xml:space="preserve">, without the County’s prior written consent,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500C1A79">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waste is no longer accepted at the </w:t>
      </w:r>
      <w:r>
        <w:t>Landfill</w:t>
      </w:r>
      <w:r w:rsidRPr="004E5D17">
        <w:t>, unless sooner terminated by 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6E99D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4ACE08CB">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in compliance with, all applicable Laws</w:t>
      </w:r>
      <w:r>
        <w:t xml:space="preserve"> 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792179B">
      <w:pPr>
        <w:pStyle w:val="ListParagraph"/>
        <w:numPr>
          <w:ilvl w:val="0"/>
          <w:numId w:val="21"/>
        </w:numPr>
        <w:ind w:left="0" w:firstLine="720"/>
        <w:jc w:val="both"/>
      </w:pPr>
      <w:r w:rsidRPr="007007AA">
        <w:rPr>
          <w:u w:val="single"/>
        </w:rPr>
        <w:t>No Convictions</w:t>
      </w:r>
      <w:r w:rsidRPr="007007AA">
        <w:t xml:space="preserve">. No key personnel </w:t>
      </w:r>
      <w:r>
        <w:t xml:space="preserve">of Company </w:t>
      </w:r>
      <w:r w:rsidRPr="007007AA">
        <w:t>has been convicted of any of the following crimes</w:t>
      </w:r>
      <w:r w:rsidR="00B7600E">
        <w:t xml:space="preserve">, which are </w:t>
      </w:r>
      <w:r w:rsidRPr="007007AA">
        <w:t xml:space="preserve">punishable as felonies under the laws of the Commonwealth or the equivalent thereof under the laws of any other jurisdiction: murder; kidnapping; gambling; robbery; bribery; extortion; criminal usury; arson; burglary; theft and related crimes; forgery and fraudulent practices; fraud in the offering, sale, or purchase of securities; alteration of motor vehicle identification numbers; unlawful manufacture, purchase, use or transfer of firearms; unlawful possession or use of destructive devices or explosives; violation of the Drug Control Act, Chapter 34 (§ 54.1-3400 et seq.) of Title 54.1; racketeering; violation of antitrust laws; or has been adjudged by an administrative agency or a court of competent jurisdiction to have violated the environmental protection laws of the United States, the Commonwealth </w:t>
      </w:r>
      <w:r>
        <w:t xml:space="preserve">of Virginia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5DD648D5">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applicable Law):</w:t>
      </w:r>
    </w:p>
    <w:p w:rsidR="00C57B0A" w:rsidP="00C57B0A" w14:paraId="00B4F145" w14:textId="77777777">
      <w:pPr>
        <w:pStyle w:val="ListParagraph"/>
        <w:ind w:left="1440"/>
        <w:jc w:val="both"/>
      </w:pPr>
    </w:p>
    <w:p w:rsidR="00C57B0A" w:rsidP="00C57B0A" w14:paraId="7760F650" w14:textId="4221F0CE">
      <w:pPr>
        <w:pStyle w:val="ListParagraph"/>
        <w:numPr>
          <w:ilvl w:val="2"/>
          <w:numId w:val="25"/>
        </w:numPr>
        <w:ind w:left="0" w:firstLine="2160"/>
        <w:jc w:val="both"/>
      </w:pPr>
      <w:r w:rsidRPr="00E11054">
        <w:t xml:space="preserve">Company fails to pay, </w:t>
      </w:r>
      <w:r w:rsidR="00B86D62">
        <w:t>within five (5) Business Days of the date</w:t>
      </w:r>
      <w:r w:rsidRPr="00E11054">
        <w:t xml:space="preserve"> due, any amount</w:t>
      </w:r>
      <w:r w:rsidR="00E11054">
        <w:t xml:space="preserve">, </w:t>
      </w:r>
      <w:r w:rsidRPr="00E11054">
        <w:t>or portion thereof</w:t>
      </w:r>
      <w:r w:rsidR="00E11054">
        <w:t xml:space="preserve">, </w:t>
      </w:r>
      <w:r w:rsidRPr="00E11054">
        <w:t xml:space="preserve">due to the County hereunder, including, without limitation, any </w:t>
      </w:r>
      <w:r w:rsidR="00E11054">
        <w:t xml:space="preserve">Development Reimbursement, </w:t>
      </w:r>
      <w:r w:rsidRPr="00E11054">
        <w:t xml:space="preserve">Host Fee, </w:t>
      </w:r>
      <w:r w:rsidRPr="00E11054" w:rsidR="00E11054">
        <w:t>Minimum Host Fee, Landfill Liaison Reimbursement, or Monitoring and Inspection Reimbursement</w:t>
      </w:r>
      <w:r w:rsidR="00E11054">
        <w:t>;</w:t>
      </w:r>
    </w:p>
    <w:p w:rsidR="00E11054" w:rsidP="00E11054" w14:paraId="77FB52AE" w14:textId="77777777">
      <w:pPr>
        <w:pStyle w:val="ListParagraph"/>
        <w:ind w:left="2160"/>
        <w:jc w:val="both"/>
      </w:pPr>
    </w:p>
    <w:p w:rsidR="00E11054" w:rsidP="00C57B0A" w14:paraId="3E5EE6B2" w14:textId="251E418C">
      <w:pPr>
        <w:pStyle w:val="ListParagraph"/>
        <w:numPr>
          <w:ilvl w:val="2"/>
          <w:numId w:val="25"/>
        </w:numPr>
        <w:ind w:left="0" w:firstLine="2160"/>
        <w:jc w:val="both"/>
      </w:pPr>
      <w:r w:rsidRPr="00E11054">
        <w:t>any representation, warranty, certification or other statement of fact made or deemed made by or on behalf of</w:t>
      </w:r>
      <w:r>
        <w:t xml:space="preserve"> 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167A404E">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in this Agreement, and such failure continues unremedied for a period of ten (10) Business Days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650662" w:rsidP="00650662" w14:paraId="0D7090D0" w14:textId="49C22FE2">
      <w:pPr>
        <w:pStyle w:val="ListParagraph"/>
        <w:numPr>
          <w:ilvl w:val="2"/>
          <w:numId w:val="25"/>
        </w:numPr>
        <w:ind w:left="0" w:firstLine="2160"/>
        <w:jc w:val="both"/>
      </w:pPr>
      <w:r>
        <w:t>I</w:t>
      </w:r>
      <w:r>
        <w:t xml:space="preserve">ssue a Stop Work Order, </w:t>
      </w:r>
      <w:r w:rsidR="00A53546">
        <w:t xml:space="preserve">upon receipt of which, </w:t>
      </w:r>
      <w:r>
        <w:t xml:space="preserve">Company shall </w:t>
      </w:r>
      <w:r w:rsidR="00A53546">
        <w:t xml:space="preserve">immediately </w:t>
      </w:r>
      <w:r>
        <w:t xml:space="preserve">halt all operations at the Landfill, except for those operations which are necessary to protect against the </w:t>
      </w:r>
      <w:r w:rsidRPr="003B2734">
        <w:t>threat of material harm to human health or the environment</w:t>
      </w:r>
      <w:r>
        <w:t>.</w:t>
      </w:r>
    </w:p>
    <w:p w:rsidR="00A53546" w:rsidP="00A53546" w14:paraId="777C0AC3" w14:textId="77777777">
      <w:pPr>
        <w:pStyle w:val="ListParagraph"/>
        <w:ind w:left="2160"/>
        <w:jc w:val="both"/>
      </w:pPr>
    </w:p>
    <w:p w:rsidR="00A53546" w:rsidP="00650662" w14:paraId="6028548D" w14:textId="4996DD47">
      <w:pPr>
        <w:pStyle w:val="ListParagraph"/>
        <w:numPr>
          <w:ilvl w:val="2"/>
          <w:numId w:val="25"/>
        </w:numPr>
        <w:ind w:left="0" w:firstLine="2160"/>
        <w:jc w:val="both"/>
      </w:pPr>
      <w:r>
        <w:t>Demand that Company close the Landfill, and thereafter, Company shall proceed to close the Landfill in accordance with</w:t>
      </w:r>
      <w:r w:rsidR="005405D2">
        <w:t xml:space="preserve"> </w:t>
      </w:r>
      <w:r w:rsidRPr="005405D2" w:rsidR="005405D2">
        <w:rPr>
          <w:u w:val="single"/>
        </w:rPr>
        <w:t>Sections 8.1</w:t>
      </w:r>
      <w:r w:rsidR="005405D2">
        <w:t xml:space="preserve"> and </w:t>
      </w:r>
      <w:r w:rsidRPr="005405D2" w:rsidR="005405D2">
        <w:rPr>
          <w:u w:val="single"/>
        </w:rPr>
        <w:t>8.2</w:t>
      </w:r>
      <w:r w:rsidR="005405D2">
        <w:t>.</w:t>
      </w:r>
    </w:p>
    <w:p w:rsidR="005405D2" w:rsidP="005405D2" w14:paraId="79961501" w14:textId="77777777">
      <w:pPr>
        <w:pStyle w:val="ListParagraph"/>
      </w:pPr>
    </w:p>
    <w:p w:rsidR="005405D2" w:rsidP="00650662" w14:paraId="3BB3BE3E" w14:textId="40609CCC">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9C1394" w:rsidRPr="009C1394" w:rsidP="009C1394" w14:paraId="630296A7" w14:textId="3A019B28">
      <w:pPr>
        <w:pStyle w:val="ListParagraph"/>
        <w:numPr>
          <w:ilvl w:val="0"/>
          <w:numId w:val="25"/>
        </w:numPr>
        <w:ind w:left="-90" w:firstLine="810"/>
        <w:jc w:val="both"/>
        <w:rPr>
          <w:b/>
          <w:bCs/>
        </w:rPr>
      </w:pPr>
      <w:r>
        <w:rPr>
          <w:u w:val="single"/>
        </w:rPr>
        <w:t>Equitable Remedies</w:t>
      </w:r>
      <w:r>
        <w:t>.</w:t>
      </w:r>
      <w:r w:rsidR="00FF220B">
        <w:t xml:space="preserve"> </w:t>
      </w:r>
      <w:r w:rsidRPr="00FF220B" w:rsidR="00FF220B">
        <w:t xml:space="preserve">Each </w:t>
      </w:r>
      <w:r w:rsidR="00FF220B">
        <w:t>P</w:t>
      </w:r>
      <w:r w:rsidRPr="00FF220B" w:rsidR="00FF220B">
        <w:t xml:space="preserve">arty to this Agreement acknowledges and agrees that (a) a breach or threatened breach by such </w:t>
      </w:r>
      <w:r w:rsidR="00FF220B">
        <w:t>P</w:t>
      </w:r>
      <w:r w:rsidRPr="00FF220B" w:rsidR="00FF220B">
        <w:t>arty of any of its obligations under this Agreement</w:t>
      </w:r>
      <w:r w:rsidR="00FF220B">
        <w:t xml:space="preserve"> </w:t>
      </w:r>
      <w:r w:rsidRPr="00FF220B" w:rsidR="00FF220B">
        <w:t xml:space="preserve">would give rise to irreparable harm to the other </w:t>
      </w:r>
      <w:r w:rsidR="00FF220B">
        <w:t>P</w:t>
      </w:r>
      <w:r w:rsidRPr="00FF220B" w:rsidR="00FF220B">
        <w:t xml:space="preserve">arty for which monetary damages would not be an adequate remedy and (b) if a breach or a threatened breach by such party of any such obligations occurs, the other </w:t>
      </w:r>
      <w:r w:rsidR="00FF220B">
        <w:t>P</w:t>
      </w:r>
      <w:r w:rsidRPr="00FF220B" w:rsidR="00FF220B">
        <w:t xml:space="preserve">arty hereto will, in addition to any and all other rights and remedies that may be available to such </w:t>
      </w:r>
      <w:r w:rsidR="00FF220B">
        <w:t>P</w:t>
      </w:r>
      <w:r w:rsidRPr="00FF220B" w:rsidR="00FF220B">
        <w:t xml:space="preserve">arty at law, at equity, or otherwise in respect of such breach, be entitled to equitable relief, including a temporary restraining order, an injunction, specific performance and any other relief that may be available from a court of competent jurisdiction, without any requirement to (i) post a bond or other security, or (ii) prove actual damages or that monetary damages will not afford an adequate remedy. Each </w:t>
      </w:r>
      <w:r w:rsidR="00FF220B">
        <w:t>P</w:t>
      </w:r>
      <w:r w:rsidRPr="00FF220B" w:rsidR="00FF220B">
        <w:t xml:space="preserve">arty to this Agreement agrees that such </w:t>
      </w:r>
      <w:r w:rsidR="00FF220B">
        <w:t>P</w:t>
      </w:r>
      <w:r w:rsidRPr="00FF220B" w:rsidR="00FF220B">
        <w:t xml:space="preserve">arty shall not oppose or otherwise challenge the appropriateness of equitable relief or the entry by a court of competent jurisdiction of an order granting equitable relief, in either case, consistent with the terms of this </w:t>
      </w:r>
      <w:r w:rsidRPr="00FF220B" w:rsidR="00FF220B">
        <w:rPr>
          <w:u w:val="single"/>
        </w:rPr>
        <w:t>Section 12.2</w:t>
      </w:r>
      <w:r w:rsidRPr="00FF220B" w:rsidR="00FF220B">
        <w: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9C1394" w:rsidP="009C1394" w14:paraId="42571B1C"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r>
        <w:t xml:space="preserve">Company </w:t>
      </w:r>
      <w:r w:rsidRPr="00B24B6C">
        <w:t xml:space="preserve">further agrees to indemnify and hold harmless the County from any action brought by any landowner seeking damages for any reason as a result of the Landfill, including personal injury, property taking, property damage, or inverse condemnation. However,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p>
    <w:p w:rsidR="009C1394" w:rsidP="009C1394" w14:paraId="00010ECC" w14:textId="77777777">
      <w:pPr>
        <w:pStyle w:val="ListParagraph"/>
        <w:ind w:left="1440"/>
        <w:jc w:val="both"/>
      </w:pPr>
    </w:p>
    <w:p w:rsidR="00B24B6C" w:rsidP="009C1394" w14:paraId="789AD36C" w14:textId="1324D741">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23A7FB04">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xml:space="preserve">. Any legal suit, action, or proceeding arising out of or related to this Agreement shall be instituted exclusively in the federal courts of the United States or the courts of </w:t>
      </w:r>
      <w:r>
        <w:t xml:space="preserve">the Commonwealth of Virginia </w:t>
      </w:r>
      <w:r w:rsidRPr="00136FBC">
        <w:t xml:space="preserve">in each case 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0F3D16AB">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2.11(c)</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B04F81" w:rsidP="00B04F81" w14:paraId="4C59253C" w14:textId="77777777">
      <w:pPr>
        <w:pStyle w:val="ListParagraph"/>
        <w:jc w:val="both"/>
      </w:pPr>
    </w:p>
    <w:p w:rsidR="008F4665" w:rsidP="008F4665" w14:paraId="317A6598" w14:textId="272EE021">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08CC2142">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2.12</w:t>
      </w:r>
      <w:r>
        <w:t>.</w:t>
      </w:r>
    </w:p>
    <w:p w:rsidR="006F55EA" w:rsidP="006F55EA" w14:paraId="682F83EF" w14:textId="77777777">
      <w:pPr>
        <w:pStyle w:val="ListParagraph"/>
      </w:pPr>
    </w:p>
    <w:p w:rsidR="00D85CD8" w:rsidP="006F55EA" w14:paraId="307D2C74" w14:textId="3B44B6D8">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r w:rsidRPr="002F6170">
        <w:rPr>
          <w:b/>
          <w:bCs/>
        </w:rPr>
        <w:t>Construction Waste</w:t>
      </w:r>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459A38C5">
      <w:pPr>
        <w:pStyle w:val="ListParagraph"/>
        <w:numPr>
          <w:ilvl w:val="0"/>
          <w:numId w:val="26"/>
        </w:numPr>
        <w:ind w:left="0" w:firstLine="720"/>
        <w:jc w:val="both"/>
      </w:pPr>
      <w:r>
        <w:t>“</w:t>
      </w:r>
      <w:r w:rsidRPr="002F6170">
        <w:rPr>
          <w:b/>
          <w:bCs/>
        </w:rPr>
        <w:t>County Collection Site</w:t>
      </w:r>
      <w:r>
        <w:t>” shall mean each waste collection site</w:t>
      </w:r>
      <w:r w:rsidR="00CD68FB">
        <w:t xml:space="preserve"> and/or transfer center </w:t>
      </w:r>
      <w:r>
        <w:t xml:space="preserve">owned by the County, as more particularly described on </w:t>
      </w:r>
      <w:r w:rsidRPr="002F6170">
        <w:rPr>
          <w:u w:val="single"/>
        </w:rPr>
        <w:t xml:space="preserve">Exhibit </w:t>
      </w:r>
      <w:r w:rsidR="007C72A0">
        <w:rPr>
          <w:u w:val="single"/>
        </w:rPr>
        <w:t>B</w:t>
      </w:r>
      <w:r w:rsidRPr="007C72A0" w:rsidR="007C72A0">
        <w:t xml:space="preserve"> </w:t>
      </w:r>
      <w:r>
        <w:t>attached hereto.</w:t>
      </w:r>
      <w:r w:rsidR="007C72A0">
        <w:t xml:space="preserve"> </w:t>
      </w:r>
      <w:r w:rsidRPr="00CD68FB" w:rsidR="007C72A0">
        <w:rPr>
          <w:u w:val="single"/>
        </w:rPr>
        <w:t>Exhibit B</w:t>
      </w:r>
      <w:r w:rsidR="007C72A0">
        <w:t xml:space="preserve"> may be amended from time to time as the County establishes or decommissions each collection site</w:t>
      </w:r>
      <w:r w:rsidR="00CD68FB">
        <w:t xml:space="preserve"> or transfer center</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69267E76">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2.8(b)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r w:rsidRPr="002F6170">
        <w:rPr>
          <w:b/>
          <w:bCs/>
        </w:rPr>
        <w:t>Debris Waste</w:t>
      </w:r>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r w:rsidRPr="002F6170">
        <w:rPr>
          <w:b/>
          <w:bCs/>
        </w:rPr>
        <w:t>Demolition Waste</w:t>
      </w:r>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77777777">
      <w:pPr>
        <w:pStyle w:val="ListParagraph"/>
        <w:numPr>
          <w:ilvl w:val="0"/>
          <w:numId w:val="26"/>
        </w:numPr>
        <w:ind w:left="0" w:firstLine="720"/>
        <w:jc w:val="both"/>
      </w:pPr>
      <w:r>
        <w:t>“</w:t>
      </w:r>
      <w:r w:rsidRPr="002F6170">
        <w:rPr>
          <w:b/>
          <w:bCs/>
        </w:rPr>
        <w:t>Governmental Requirements</w:t>
      </w:r>
      <w:r>
        <w:t>” means building, zoning, subdivision, traffic, parking, land use, environmental, occupancy, health, accessibility for disabled, and other applicable laws, statutes, codes, ordinances, rules, regulations, requirements,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2F6170" w:rsidP="00CB5A0C" w14:paraId="27D48A56" w14:textId="77777777">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2724EC94">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2.8(a)</w:t>
      </w:r>
      <w:r>
        <w:t>.</w:t>
      </w:r>
    </w:p>
    <w:p w:rsidR="00D85CD8" w:rsidP="00D85CD8" w14:paraId="6F05CCAD" w14:textId="77777777">
      <w:pPr>
        <w:pStyle w:val="ListParagraph"/>
      </w:pPr>
    </w:p>
    <w:p w:rsidR="00E46C4C" w:rsidP="00CB5A0C" w14:paraId="48458F23" w14:textId="6EDA9691">
      <w:pPr>
        <w:pStyle w:val="ListParagraph"/>
        <w:numPr>
          <w:ilvl w:val="0"/>
          <w:numId w:val="26"/>
        </w:numPr>
        <w:ind w:left="0" w:firstLine="720"/>
        <w:jc w:val="both"/>
      </w:pPr>
      <w:r>
        <w:t>“</w:t>
      </w:r>
      <w:r w:rsidRPr="00E46C4C">
        <w:rPr>
          <w:b/>
          <w:bCs/>
        </w:rPr>
        <w:t>Household Hazardous Wastes</w:t>
      </w:r>
      <w:r>
        <w:t xml:space="preserve">” shall have the meaning set forth in </w:t>
      </w:r>
      <w:r w:rsidRPr="00E46C4C">
        <w:rPr>
          <w:u w:val="single"/>
        </w:rPr>
        <w:t>Section 1.1(a)(ix)</w:t>
      </w:r>
      <w:r>
        <w:t>.</w:t>
      </w:r>
    </w:p>
    <w:p w:rsidR="00E46C4C" w:rsidP="00E46C4C" w14:paraId="2F910017" w14:textId="77777777">
      <w:pPr>
        <w:pStyle w:val="ListParagraph"/>
      </w:pPr>
    </w:p>
    <w:p w:rsidR="002F6170" w:rsidP="00CB5A0C" w14:paraId="50AFD628" w14:textId="2C5EB4A9">
      <w:pPr>
        <w:pStyle w:val="ListParagraph"/>
        <w:numPr>
          <w:ilvl w:val="0"/>
          <w:numId w:val="26"/>
        </w:numPr>
        <w:ind w:left="0" w:firstLine="720"/>
        <w:jc w:val="both"/>
      </w:pPr>
      <w:r>
        <w:t>“</w:t>
      </w:r>
      <w:r w:rsidRPr="002F6170">
        <w:rPr>
          <w:b/>
          <w:bCs/>
        </w:rPr>
        <w:t>Industrial Waste</w:t>
      </w:r>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0EC8B44F">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D85CD8">
        <w:t>.</w:t>
      </w:r>
    </w:p>
    <w:p w:rsidR="00515516" w:rsidP="00515516" w14:paraId="2D93D345" w14:textId="77777777">
      <w:pPr>
        <w:pStyle w:val="ListParagraph"/>
      </w:pPr>
    </w:p>
    <w:p w:rsidR="00515516" w:rsidP="00CB5A0C" w14:paraId="44B9F90A" w14:textId="2834E078">
      <w:pPr>
        <w:pStyle w:val="ListParagraph"/>
        <w:numPr>
          <w:ilvl w:val="0"/>
          <w:numId w:val="26"/>
        </w:numPr>
        <w:ind w:left="0" w:firstLine="720"/>
        <w:jc w:val="both"/>
      </w:pPr>
      <w:r>
        <w:t>“</w:t>
      </w:r>
      <w:r w:rsidRPr="00515516">
        <w:rPr>
          <w:b/>
          <w:bCs/>
        </w:rPr>
        <w:t>Landfill Liaison Reimbursement</w:t>
      </w:r>
      <w:r>
        <w:t xml:space="preserve">” shall have the meaning set forth in </w:t>
      </w:r>
      <w:r w:rsidRPr="00E46C4C">
        <w:rPr>
          <w:u w:val="single"/>
        </w:rPr>
        <w:t>Sectio</w:t>
      </w:r>
      <w:r>
        <w:rPr>
          <w:u w:val="single"/>
        </w:rPr>
        <w:t>n 5.3</w:t>
      </w:r>
      <w:r>
        <w:t>.</w:t>
      </w:r>
    </w:p>
    <w:p w:rsidR="00E46C4C" w:rsidP="00E46C4C" w14:paraId="7AE79753" w14:textId="77777777">
      <w:pPr>
        <w:pStyle w:val="ListParagraph"/>
      </w:pPr>
    </w:p>
    <w:p w:rsidR="006F55EA" w:rsidP="00CB5A0C" w14:paraId="061E827D" w14:textId="23DCFD1A">
      <w:pPr>
        <w:pStyle w:val="ListParagraph"/>
        <w:numPr>
          <w:ilvl w:val="0"/>
          <w:numId w:val="26"/>
        </w:numPr>
        <w:ind w:left="0" w:firstLine="720"/>
        <w:jc w:val="both"/>
      </w:pPr>
      <w:r>
        <w:t>“</w:t>
      </w:r>
      <w:r w:rsidRPr="006F55EA">
        <w:rPr>
          <w:b/>
          <w:bCs/>
        </w:rPr>
        <w:t>Laws</w:t>
      </w:r>
      <w:r>
        <w:t xml:space="preserve">” shall have the meaning set forth in </w:t>
      </w:r>
      <w:r w:rsidRPr="006F55EA">
        <w:rPr>
          <w:u w:val="single"/>
        </w:rPr>
        <w:t>Section 1.1(a)(iv)</w:t>
      </w:r>
      <w:r>
        <w:t>.</w:t>
      </w:r>
    </w:p>
    <w:p w:rsidR="006F55EA" w:rsidP="006F55EA" w14:paraId="5B80A8F6" w14:textId="77777777">
      <w:pPr>
        <w:pStyle w:val="ListParagraph"/>
      </w:pPr>
    </w:p>
    <w:p w:rsidR="00E46C4C" w:rsidP="00CB5A0C" w14:paraId="17275F63" w14:textId="5C7C4747">
      <w:pPr>
        <w:pStyle w:val="ListParagraph"/>
        <w:numPr>
          <w:ilvl w:val="0"/>
          <w:numId w:val="26"/>
        </w:numPr>
        <w:ind w:left="0" w:firstLine="720"/>
        <w:jc w:val="both"/>
      </w:pPr>
      <w:r>
        <w:t>“</w:t>
      </w:r>
      <w:r w:rsidRPr="00E46C4C">
        <w:rPr>
          <w:b/>
          <w:bCs/>
        </w:rPr>
        <w:t>Leachate Storage  Facility</w:t>
      </w:r>
      <w:r>
        <w:t xml:space="preserve">” shall have the meaning set forth in </w:t>
      </w:r>
      <w:r w:rsidRPr="00E46C4C">
        <w:rPr>
          <w:u w:val="single"/>
        </w:rPr>
        <w:t>Section 1.1(a)(ix)</w:t>
      </w:r>
      <w:r>
        <w:t>.</w:t>
      </w:r>
    </w:p>
    <w:p w:rsidR="00E46C4C" w:rsidP="00E46C4C" w14:paraId="5C831E59" w14:textId="77777777">
      <w:pPr>
        <w:pStyle w:val="ListParagraph"/>
      </w:pPr>
    </w:p>
    <w:p w:rsidR="00D85CD8" w:rsidP="00CB5A0C" w14:paraId="7E588F8C" w14:textId="69514BEC">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2.7(a)</w:t>
      </w:r>
      <w:r>
        <w:t>.</w:t>
      </w:r>
    </w:p>
    <w:p w:rsidR="00D85CD8" w:rsidP="00D85CD8" w14:paraId="2687F1F6" w14:textId="77777777">
      <w:pPr>
        <w:pStyle w:val="ListParagraph"/>
      </w:pPr>
    </w:p>
    <w:p w:rsidR="00D85CD8" w:rsidP="00CB5A0C" w14:paraId="7CFE4145" w14:textId="261B377A">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2.8(e)</w:t>
      </w:r>
      <w:r w:rsidR="00D83CB1">
        <w:t>.</w:t>
      </w:r>
    </w:p>
    <w:p w:rsidR="00D85CD8" w:rsidP="00D85CD8" w14:paraId="411AFFBC" w14:textId="77777777">
      <w:pPr>
        <w:pStyle w:val="ListParagraph"/>
      </w:pPr>
    </w:p>
    <w:p w:rsidR="00515516" w:rsidP="00CB5A0C" w14:paraId="438DB81A" w14:textId="6B2C5943">
      <w:pPr>
        <w:pStyle w:val="ListParagraph"/>
        <w:numPr>
          <w:ilvl w:val="0"/>
          <w:numId w:val="26"/>
        </w:numPr>
        <w:ind w:left="0" w:firstLine="720"/>
        <w:jc w:val="both"/>
      </w:pPr>
      <w:r>
        <w:t>“</w:t>
      </w:r>
      <w:r w:rsidRPr="00515516">
        <w:rPr>
          <w:b/>
          <w:bCs/>
        </w:rPr>
        <w:t>Monitoring and Inspection Reimbursement</w:t>
      </w:r>
      <w:r>
        <w:t xml:space="preserve">” shall have the meaning set forth in </w:t>
      </w:r>
      <w:r w:rsidRPr="00E46C4C">
        <w:rPr>
          <w:u w:val="single"/>
        </w:rPr>
        <w:t>Sectio</w:t>
      </w:r>
      <w:r>
        <w:rPr>
          <w:u w:val="single"/>
        </w:rPr>
        <w:t>n 5.4</w:t>
      </w:r>
      <w:r>
        <w:t>.</w:t>
      </w:r>
    </w:p>
    <w:p w:rsidR="00515516" w:rsidP="00515516" w14:paraId="2EDC86A7" w14:textId="77777777">
      <w:pPr>
        <w:pStyle w:val="ListParagraph"/>
      </w:pPr>
    </w:p>
    <w:p w:rsidR="008C3E51" w:rsidP="00CB5A0C" w14:paraId="015DA8B4" w14:textId="0F9433A3">
      <w:pPr>
        <w:pStyle w:val="ListParagraph"/>
        <w:numPr>
          <w:ilvl w:val="0"/>
          <w:numId w:val="26"/>
        </w:numPr>
        <w:ind w:left="0" w:firstLine="720"/>
        <w:jc w:val="both"/>
      </w:pPr>
      <w:r>
        <w:t>“</w:t>
      </w:r>
      <w:r w:rsidRPr="002F6170">
        <w:rPr>
          <w:b/>
          <w:bCs/>
        </w:rPr>
        <w:t>Municipal Solid Waste</w:t>
      </w:r>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1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1F693E5A">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1.1(c)</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6F55EA" w:rsidP="006F55EA" w14:paraId="6CBDA347" w14:textId="77777777">
      <w:pPr>
        <w:pStyle w:val="ListParagraph"/>
      </w:pPr>
    </w:p>
    <w:p w:rsidR="00515516" w:rsidP="00CB5A0C" w14:paraId="060CF296" w14:textId="17C1EEDF">
      <w:pPr>
        <w:pStyle w:val="ListParagraph"/>
        <w:numPr>
          <w:ilvl w:val="0"/>
          <w:numId w:val="26"/>
        </w:numPr>
        <w:ind w:left="0" w:firstLine="720"/>
        <w:jc w:val="both"/>
      </w:pPr>
      <w:r>
        <w:t>“</w:t>
      </w:r>
      <w:r w:rsidRPr="00515516">
        <w:rPr>
          <w:b/>
          <w:bCs/>
        </w:rPr>
        <w:t>Recycling Center</w:t>
      </w:r>
      <w:r>
        <w:t xml:space="preserve">” shall have the meaning set forth in </w:t>
      </w:r>
      <w:r w:rsidRPr="00E46C4C">
        <w:rPr>
          <w:u w:val="single"/>
        </w:rPr>
        <w:t>Sectio</w:t>
      </w:r>
      <w:r>
        <w:rPr>
          <w:u w:val="single"/>
        </w:rPr>
        <w:t>n 2.13</w:t>
      </w:r>
      <w:r>
        <w:t>.</w:t>
      </w:r>
    </w:p>
    <w:p w:rsidR="00515516" w:rsidP="00515516" w14:paraId="39C32096" w14:textId="77777777">
      <w:pPr>
        <w:pStyle w:val="ListParagraph"/>
      </w:pPr>
    </w:p>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E46C4C" w:rsidP="00E46C4C" w14:paraId="475698D4" w14:textId="77777777">
      <w:pPr>
        <w:pStyle w:val="ListParagraph"/>
      </w:pPr>
    </w:p>
    <w:p w:rsidR="00E46C4C" w:rsidP="00CB5A0C" w14:paraId="756A3A2E" w14:textId="66CA403F">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1.1(e)</w:t>
      </w:r>
      <w:r>
        <w:t>.</w:t>
      </w:r>
    </w:p>
    <w:p w:rsidR="00E46C4C" w:rsidP="00E46C4C" w14:paraId="0746E037" w14:textId="77777777">
      <w:pPr>
        <w:pStyle w:val="ListParagraph"/>
      </w:pPr>
    </w:p>
    <w:p w:rsidR="00D83CB1" w:rsidP="00CB5A0C" w14:paraId="1C319011" w14:textId="77E5D647">
      <w:pPr>
        <w:pStyle w:val="ListParagraph"/>
        <w:numPr>
          <w:ilvl w:val="0"/>
          <w:numId w:val="26"/>
        </w:numPr>
        <w:ind w:left="0" w:firstLine="720"/>
        <w:jc w:val="both"/>
      </w:pPr>
      <w:r>
        <w:t>“</w:t>
      </w:r>
      <w:r w:rsidRPr="00D83CB1">
        <w:rPr>
          <w:b/>
          <w:bCs/>
        </w:rPr>
        <w:t>Resident Waste</w:t>
      </w:r>
      <w:r>
        <w:t xml:space="preserve">” shall have the meaning set forth in </w:t>
      </w:r>
      <w:r w:rsidRPr="00E46C4C">
        <w:rPr>
          <w:u w:val="single"/>
        </w:rPr>
        <w:t>Sectio</w:t>
      </w:r>
      <w:r>
        <w:rPr>
          <w:u w:val="single"/>
        </w:rPr>
        <w:t>n 2.9(c)</w:t>
      </w:r>
      <w:r>
        <w:t>.</w:t>
      </w:r>
    </w:p>
    <w:p w:rsidR="00D83CB1" w:rsidP="00D83CB1" w14:paraId="34709A24" w14:textId="77777777">
      <w:pPr>
        <w:pStyle w:val="ListParagraph"/>
      </w:pPr>
    </w:p>
    <w:p w:rsidR="00D85CD8" w:rsidP="00CB5A0C" w14:paraId="34604399" w14:textId="7D2C010F">
      <w:pPr>
        <w:pStyle w:val="ListParagraph"/>
        <w:numPr>
          <w:ilvl w:val="0"/>
          <w:numId w:val="26"/>
        </w:numPr>
        <w:ind w:left="0" w:firstLine="720"/>
        <w:jc w:val="both"/>
      </w:pPr>
      <w:r>
        <w:t>“</w:t>
      </w:r>
      <w:r w:rsidRPr="00D85CD8">
        <w:rPr>
          <w:b/>
          <w:bCs/>
        </w:rPr>
        <w:t>Service Area</w:t>
      </w:r>
      <w:r>
        <w:t xml:space="preserve">” shall have the meaning set forth in </w:t>
      </w:r>
      <w:r w:rsidRPr="00E46C4C">
        <w:rPr>
          <w:u w:val="single"/>
        </w:rPr>
        <w:t>Sectio</w:t>
      </w:r>
      <w:r>
        <w:rPr>
          <w:u w:val="single"/>
        </w:rPr>
        <w:t>n 2.5</w:t>
      </w:r>
      <w:r>
        <w:t>.</w:t>
      </w:r>
    </w:p>
    <w:p w:rsidR="00D85CD8" w:rsidP="00D85CD8" w14:paraId="6C0E1A86" w14:textId="77777777">
      <w:pPr>
        <w:pStyle w:val="ListParagraph"/>
      </w:pPr>
    </w:p>
    <w:p w:rsidR="00D85CD8" w:rsidP="00CB5A0C" w14:paraId="12BA3319" w14:textId="6CF955DF">
      <w:pPr>
        <w:pStyle w:val="ListParagraph"/>
        <w:numPr>
          <w:ilvl w:val="0"/>
          <w:numId w:val="26"/>
        </w:numPr>
        <w:ind w:left="0" w:firstLine="720"/>
        <w:jc w:val="both"/>
      </w:pPr>
      <w:r>
        <w:t>“</w:t>
      </w:r>
      <w:r w:rsidRPr="00D85CD8">
        <w:rPr>
          <w:b/>
          <w:bCs/>
        </w:rPr>
        <w:t>Stop Work Order</w:t>
      </w:r>
      <w:r>
        <w:t xml:space="preserve">” shall have the meaning set forth in </w:t>
      </w:r>
      <w:r w:rsidRPr="00E46C4C">
        <w:rPr>
          <w:u w:val="single"/>
        </w:rPr>
        <w:t>Sectio</w:t>
      </w:r>
      <w:r>
        <w:rPr>
          <w:u w:val="single"/>
        </w:rPr>
        <w:t>n 1.2(e)</w:t>
      </w:r>
      <w:r>
        <w:t>.</w:t>
      </w:r>
    </w:p>
    <w:p w:rsidR="00D85CD8" w:rsidP="00D85CD8" w14:paraId="0C46F30B"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E231EBF">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1.1(c)</w:t>
      </w:r>
      <w:r>
        <w:t>.</w:t>
      </w:r>
    </w:p>
    <w:p w:rsidR="00D85CD8" w:rsidP="00D85CD8" w14:paraId="18F2ED3B" w14:textId="77777777">
      <w:pPr>
        <w:pStyle w:val="ListParagraph"/>
      </w:pPr>
    </w:p>
    <w:p w:rsidR="00D85CD8" w:rsidP="00CB5A0C" w14:paraId="3D664F09" w14:textId="59BBBD18">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1E5BF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1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RPr="00986C65" w:rsidP="00CB5A0C" w14:paraId="28B459D1" w14:textId="4C8971FE"/>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70A" w14:paraId="23EADF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3A567C85">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773B17">
      <w:rPr>
        <w:sz w:val="18"/>
      </w:rPr>
      <w:instrText/>
    </w:r>
    <w:r w:rsidRPr="00E90AAA">
      <w:rPr>
        <w:sz w:val="18"/>
      </w:rPr>
    </w:r>
    <w:r w:rsidRPr="00E90AAA">
      <w:rPr>
        <w:sz w:val="18"/>
      </w:rPr>
      <w:instrText/>
    </w:r>
    <w:r>
      <w:rPr>
        <w:sz w:val="18"/>
      </w:rPr>
      <w:instrText xml:space="preserve"/>
    </w:r>
    <w:r>
      <w:rPr>
        <w:sz w:val="18"/>
      </w:rPr>
    </w:r>
    <w:r w:rsidR="00773B17">
      <w:rPr>
        <w:noProof/>
        <w:sz w:val="18"/>
      </w:rPr>
      <w:t>26898/3/11289025v3</w:t>
    </w:r>
    <w:r>
      <w:rPr>
        <w:sz w:val="18"/>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2985FDE2">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773B17">
      <w:rPr>
        <w:sz w:val="18"/>
      </w:rPr>
      <w:instrText/>
    </w:r>
    <w:r w:rsidRPr="00E90AAA">
      <w:rPr>
        <w:sz w:val="18"/>
      </w:rPr>
    </w:r>
    <w:r w:rsidRPr="00E90AAA">
      <w:rPr>
        <w:sz w:val="18"/>
      </w:rPr>
      <w:instrText/>
    </w:r>
    <w:r>
      <w:rPr>
        <w:sz w:val="18"/>
      </w:rPr>
      <w:instrText xml:space="preserve"/>
    </w:r>
    <w:r>
      <w:rPr>
        <w:sz w:val="18"/>
      </w:rPr>
    </w:r>
    <w:r w:rsidR="00773B17">
      <w:rPr>
        <w:noProof/>
        <w:sz w:val="18"/>
      </w:rPr>
      <w:t>26898/3/11289025v3</w:t>
    </w:r>
    <w:r>
      <w:rPr>
        <w:sz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46460A" w14:paraId="7039BDEC" w14:textId="00339BAC">
      <w:pPr>
        <w:pStyle w:val="FootnoteText"/>
      </w:pPr>
      <w:r>
        <w:rPr>
          <w:rStyle w:val="FootnoteReference"/>
        </w:rPr>
        <w:footnoteRef/>
      </w:r>
      <w:r>
        <w:t xml:space="preserve"> To be determined.</w:t>
      </w:r>
    </w:p>
  </w:footnote>
  <w:footnote w:id="4">
    <w:p w:rsidR="001F0025" w:rsidP="001F0025" w14:paraId="329CCDE4" w14:textId="77777777">
      <w:pPr>
        <w:pStyle w:val="FootnoteText"/>
      </w:pPr>
      <w:r>
        <w:rPr>
          <w:rStyle w:val="FootnoteReference"/>
        </w:rPr>
        <w:footnoteRef/>
      </w:r>
      <w:r>
        <w:t xml:space="preserve"> To be determined.</w:t>
      </w:r>
    </w:p>
  </w:footnote>
  <w:footnote w:id="5">
    <w:p w:rsidR="00FA6636" w14:paraId="1CE721F7" w14:textId="08143861">
      <w:pPr>
        <w:pStyle w:val="FootnoteText"/>
      </w:pPr>
      <w:r>
        <w:rPr>
          <w:rStyle w:val="FootnoteReference"/>
        </w:rPr>
        <w:footnoteRef/>
      </w:r>
      <w:r>
        <w:t xml:space="preserve"> To be consistent with current market rates.</w:t>
      </w:r>
    </w:p>
  </w:footnote>
  <w:footnote w:id="6">
    <w:p w:rsidR="005D1C4D" w:rsidP="005D1C4D" w14:paraId="75E4A564" w14:textId="77777777">
      <w:pPr>
        <w:pStyle w:val="FootnoteText"/>
      </w:pPr>
      <w:r>
        <w:rPr>
          <w:rStyle w:val="FootnoteReference"/>
        </w:rPr>
        <w:footnoteRef/>
      </w:r>
      <w:r>
        <w:t xml:space="preserve"> To be determined.</w:t>
      </w:r>
    </w:p>
  </w:footnote>
  <w:footnote w:id="7">
    <w:p w:rsidR="006A63C9" w:rsidP="006A63C9" w14:paraId="3EADC6A3" w14:textId="5DBAFB0F">
      <w:pPr>
        <w:pStyle w:val="FootnoteText"/>
      </w:pPr>
      <w:r>
        <w:rPr>
          <w:rStyle w:val="FootnoteReference"/>
        </w:rPr>
        <w:footnoteRef/>
      </w:r>
      <w:r>
        <w:t xml:space="preserve"> </w:t>
      </w:r>
      <w:r w:rsidR="000F12E1">
        <w:t>Date t</w:t>
      </w:r>
      <w:r>
        <w:t>o be determined.</w:t>
      </w:r>
    </w:p>
  </w:footnote>
  <w:footnote w:id="8">
    <w:p w:rsidR="00D559EA" w:rsidP="00D559EA" w14:paraId="538D5D34" w14:textId="77777777">
      <w:pPr>
        <w:pStyle w:val="FootnoteText"/>
      </w:pPr>
      <w:r>
        <w:rPr>
          <w:rStyle w:val="FootnoteReference"/>
        </w:rPr>
        <w:footnoteRef/>
      </w:r>
      <w:r>
        <w:t xml:space="preserve"> Date to be determined.</w:t>
      </w:r>
    </w:p>
  </w:footnote>
  <w:footnote w:id="9">
    <w:p w:rsidR="003C3142" w:rsidP="003C3142" w14:paraId="00F3BE7E" w14:textId="77777777">
      <w:pPr>
        <w:pStyle w:val="FootnoteText"/>
      </w:pPr>
      <w:r>
        <w:rPr>
          <w:rStyle w:val="FootnoteReference"/>
        </w:rPr>
        <w:footnoteRef/>
      </w:r>
      <w:r>
        <w:t xml:space="preserve"> Date to be determined.</w:t>
      </w:r>
    </w:p>
  </w:footnote>
  <w:footnote w:id="10">
    <w:p w:rsidR="003C3142" w:rsidP="003C3142" w14:paraId="492D9AC2" w14:textId="77777777">
      <w:pPr>
        <w:pStyle w:val="FootnoteText"/>
      </w:pPr>
      <w:r>
        <w:rPr>
          <w:rStyle w:val="FootnoteReference"/>
        </w:rPr>
        <w:footnoteRef/>
      </w:r>
      <w:r>
        <w:t xml:space="preserve"> Date to be determined.</w:t>
      </w:r>
    </w:p>
  </w:footnote>
  <w:footnote w:id="11">
    <w:p w:rsidR="0070226E" w:rsidP="0070226E" w14:paraId="381F1313" w14:textId="77777777">
      <w:pPr>
        <w:pStyle w:val="FootnoteText"/>
      </w:pPr>
      <w:r>
        <w:rPr>
          <w:rStyle w:val="FootnoteReference"/>
        </w:rPr>
        <w:footnoteRef/>
      </w:r>
      <w:r>
        <w:t xml:space="preserve"> To be determined.</w:t>
      </w:r>
    </w:p>
  </w:footnote>
  <w:footnote w:id="12">
    <w:p w:rsidR="0070226E" w:rsidP="0070226E" w14:paraId="41291DE6" w14:textId="77777777">
      <w:pPr>
        <w:pStyle w:val="FootnoteText"/>
      </w:pPr>
      <w:r>
        <w:rPr>
          <w:rStyle w:val="FootnoteReference"/>
        </w:rPr>
        <w:footnoteRef/>
      </w:r>
      <w:r>
        <w:t xml:space="preserve"> To be determined.</w:t>
      </w:r>
    </w:p>
  </w:footnote>
  <w:footnote w:id="13">
    <w:p w:rsidR="007307FB" w14:paraId="6FEFD309" w14:textId="3A77EEDA">
      <w:pPr>
        <w:pStyle w:val="FootnoteText"/>
      </w:pPr>
      <w:r>
        <w:rPr>
          <w:rStyle w:val="FootnoteReference"/>
        </w:rPr>
        <w:footnoteRef/>
      </w:r>
      <w:r>
        <w:t xml:space="preserve"> Names of key personnel to be included.</w:t>
      </w:r>
    </w:p>
  </w:footnote>
  <w:footnote w:id="1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1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70A" w14:paraId="6153D0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6CE39E44">
    <w:pPr>
      <w:pStyle w:val="Header"/>
      <w:rPr>
        <w:color w:val="FF0000"/>
      </w:rPr>
    </w:pPr>
    <w:r w:rsidRPr="00147D80">
      <w:rPr>
        <w:color w:val="FF0000"/>
      </w:rPr>
      <w:t>GL DRAFT</w:t>
    </w:r>
    <w:r>
      <w:rPr>
        <w:color w:val="FF0000"/>
      </w:rPr>
      <w:t xml:space="preserve"> </w:t>
    </w:r>
    <w:r w:rsidR="0006300E">
      <w:rPr>
        <w:color w:val="FF0000"/>
      </w:rPr>
      <w:t>8.</w:t>
    </w:r>
    <w:r w:rsidR="002606E1">
      <w:rPr>
        <w:color w:val="FF0000"/>
      </w:rPr>
      <w:t>3</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BA7" w:rsidRPr="006E7ABE" w14:paraId="373640B6" w14:textId="6AA71021">
    <w:pPr>
      <w:pStyle w:val="Header"/>
      <w:rPr>
        <w:color w:val="FF0000"/>
      </w:rPr>
    </w:pPr>
    <w:r w:rsidRPr="006E7ABE">
      <w:rPr>
        <w:color w:val="FF0000"/>
      </w:rPr>
      <w:t>GL DRAFT 8.</w:t>
    </w:r>
    <w:r w:rsidR="00773B17">
      <w:rPr>
        <w:color w:val="FF0000"/>
      </w:rPr>
      <w:t>3</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8">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7"/>
  </w:num>
  <w:num w:numId="12" w16cid:durableId="1205948148">
    <w:abstractNumId w:val="16"/>
  </w:num>
  <w:num w:numId="13" w16cid:durableId="940645173">
    <w:abstractNumId w:val="13"/>
  </w:num>
  <w:num w:numId="14" w16cid:durableId="1432048553">
    <w:abstractNumId w:val="20"/>
  </w:num>
  <w:num w:numId="15" w16cid:durableId="199169233">
    <w:abstractNumId w:val="14"/>
  </w:num>
  <w:num w:numId="16" w16cid:durableId="1000814627">
    <w:abstractNumId w:val="24"/>
  </w:num>
  <w:num w:numId="17" w16cid:durableId="1217932312">
    <w:abstractNumId w:val="22"/>
  </w:num>
  <w:num w:numId="18" w16cid:durableId="1242837737">
    <w:abstractNumId w:val="25"/>
  </w:num>
  <w:num w:numId="19" w16cid:durableId="1446535518">
    <w:abstractNumId w:val="23"/>
  </w:num>
  <w:num w:numId="20" w16cid:durableId="746072828">
    <w:abstractNumId w:val="21"/>
  </w:num>
  <w:num w:numId="21" w16cid:durableId="1153526487">
    <w:abstractNumId w:val="15"/>
  </w:num>
  <w:num w:numId="22" w16cid:durableId="2136827297">
    <w:abstractNumId w:val="12"/>
  </w:num>
  <w:num w:numId="23" w16cid:durableId="335809929">
    <w:abstractNumId w:val="18"/>
  </w:num>
  <w:num w:numId="24" w16cid:durableId="895550148">
    <w:abstractNumId w:val="11"/>
  </w:num>
  <w:num w:numId="25" w16cid:durableId="13965968">
    <w:abstractNumId w:val="26"/>
  </w:num>
  <w:num w:numId="26" w16cid:durableId="1343822524">
    <w:abstractNumId w:val="19"/>
  </w:num>
  <w:num w:numId="27" w16cid:durableId="128885041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45092"/>
    <w:rsid w:val="000529FC"/>
    <w:rsid w:val="000538AB"/>
    <w:rsid w:val="00053DD0"/>
    <w:rsid w:val="00054596"/>
    <w:rsid w:val="0006300E"/>
    <w:rsid w:val="00065BE8"/>
    <w:rsid w:val="000729E7"/>
    <w:rsid w:val="00076689"/>
    <w:rsid w:val="00077C48"/>
    <w:rsid w:val="00082CBA"/>
    <w:rsid w:val="00097815"/>
    <w:rsid w:val="000A6E60"/>
    <w:rsid w:val="000C2B33"/>
    <w:rsid w:val="000E0B39"/>
    <w:rsid w:val="000F12E1"/>
    <w:rsid w:val="00102583"/>
    <w:rsid w:val="00107BA7"/>
    <w:rsid w:val="00110280"/>
    <w:rsid w:val="0011726B"/>
    <w:rsid w:val="00136FBC"/>
    <w:rsid w:val="00141CF2"/>
    <w:rsid w:val="001433B4"/>
    <w:rsid w:val="00147D80"/>
    <w:rsid w:val="001562EE"/>
    <w:rsid w:val="001642CD"/>
    <w:rsid w:val="00195BC2"/>
    <w:rsid w:val="001C3A03"/>
    <w:rsid w:val="001E17E3"/>
    <w:rsid w:val="001E5BFB"/>
    <w:rsid w:val="001F0025"/>
    <w:rsid w:val="001F13EA"/>
    <w:rsid w:val="00220508"/>
    <w:rsid w:val="00225B49"/>
    <w:rsid w:val="00226B26"/>
    <w:rsid w:val="0025473E"/>
    <w:rsid w:val="002606E1"/>
    <w:rsid w:val="00274C52"/>
    <w:rsid w:val="00285698"/>
    <w:rsid w:val="00291E02"/>
    <w:rsid w:val="002D5EC3"/>
    <w:rsid w:val="002E1082"/>
    <w:rsid w:val="002F6170"/>
    <w:rsid w:val="003173A3"/>
    <w:rsid w:val="00320B22"/>
    <w:rsid w:val="003332F4"/>
    <w:rsid w:val="00333CBC"/>
    <w:rsid w:val="003361D0"/>
    <w:rsid w:val="00370E74"/>
    <w:rsid w:val="003A5482"/>
    <w:rsid w:val="003B104F"/>
    <w:rsid w:val="003B1433"/>
    <w:rsid w:val="003B2734"/>
    <w:rsid w:val="003B6AC4"/>
    <w:rsid w:val="003C3142"/>
    <w:rsid w:val="0041136C"/>
    <w:rsid w:val="004329EE"/>
    <w:rsid w:val="00436840"/>
    <w:rsid w:val="0046460A"/>
    <w:rsid w:val="0046753D"/>
    <w:rsid w:val="00475A43"/>
    <w:rsid w:val="00476BB0"/>
    <w:rsid w:val="004B1574"/>
    <w:rsid w:val="004C6A9D"/>
    <w:rsid w:val="004C7B13"/>
    <w:rsid w:val="004D2F62"/>
    <w:rsid w:val="004E2E33"/>
    <w:rsid w:val="004E5D17"/>
    <w:rsid w:val="004F4952"/>
    <w:rsid w:val="00515516"/>
    <w:rsid w:val="00531475"/>
    <w:rsid w:val="005379A5"/>
    <w:rsid w:val="005405D2"/>
    <w:rsid w:val="005454B9"/>
    <w:rsid w:val="00551AA2"/>
    <w:rsid w:val="0055570A"/>
    <w:rsid w:val="00566A92"/>
    <w:rsid w:val="00580450"/>
    <w:rsid w:val="00581AAF"/>
    <w:rsid w:val="00582B02"/>
    <w:rsid w:val="005A1978"/>
    <w:rsid w:val="005A57D9"/>
    <w:rsid w:val="005C3AC9"/>
    <w:rsid w:val="005C53EB"/>
    <w:rsid w:val="005D025F"/>
    <w:rsid w:val="005D0376"/>
    <w:rsid w:val="005D1C4D"/>
    <w:rsid w:val="005D78A9"/>
    <w:rsid w:val="005F108D"/>
    <w:rsid w:val="005F75BD"/>
    <w:rsid w:val="006122EF"/>
    <w:rsid w:val="00613635"/>
    <w:rsid w:val="00613C4C"/>
    <w:rsid w:val="006243E7"/>
    <w:rsid w:val="0062602F"/>
    <w:rsid w:val="0062668B"/>
    <w:rsid w:val="00626B64"/>
    <w:rsid w:val="00631BA1"/>
    <w:rsid w:val="00646907"/>
    <w:rsid w:val="006469B7"/>
    <w:rsid w:val="0064738F"/>
    <w:rsid w:val="00650662"/>
    <w:rsid w:val="0066267F"/>
    <w:rsid w:val="006A63C9"/>
    <w:rsid w:val="006C009C"/>
    <w:rsid w:val="006C70AE"/>
    <w:rsid w:val="006E7ABE"/>
    <w:rsid w:val="006F0414"/>
    <w:rsid w:val="006F55EA"/>
    <w:rsid w:val="007007AA"/>
    <w:rsid w:val="0070226E"/>
    <w:rsid w:val="00707227"/>
    <w:rsid w:val="00707ABF"/>
    <w:rsid w:val="007307FB"/>
    <w:rsid w:val="007537E1"/>
    <w:rsid w:val="00773B17"/>
    <w:rsid w:val="00775A2B"/>
    <w:rsid w:val="00791F2A"/>
    <w:rsid w:val="0079524B"/>
    <w:rsid w:val="007A3EE7"/>
    <w:rsid w:val="007A45C4"/>
    <w:rsid w:val="007A475B"/>
    <w:rsid w:val="007B7FB1"/>
    <w:rsid w:val="007C72A0"/>
    <w:rsid w:val="007D2258"/>
    <w:rsid w:val="007E4490"/>
    <w:rsid w:val="007F56DA"/>
    <w:rsid w:val="007F7CC5"/>
    <w:rsid w:val="008059A3"/>
    <w:rsid w:val="008111D5"/>
    <w:rsid w:val="00812CD3"/>
    <w:rsid w:val="00815A92"/>
    <w:rsid w:val="00854346"/>
    <w:rsid w:val="00873D75"/>
    <w:rsid w:val="008769C6"/>
    <w:rsid w:val="008A478E"/>
    <w:rsid w:val="008C3E51"/>
    <w:rsid w:val="008C546C"/>
    <w:rsid w:val="008E3F3D"/>
    <w:rsid w:val="008F1921"/>
    <w:rsid w:val="008F4665"/>
    <w:rsid w:val="00942B15"/>
    <w:rsid w:val="00943998"/>
    <w:rsid w:val="00963438"/>
    <w:rsid w:val="009826F0"/>
    <w:rsid w:val="00986C65"/>
    <w:rsid w:val="00990FA1"/>
    <w:rsid w:val="00995E7B"/>
    <w:rsid w:val="00996FD1"/>
    <w:rsid w:val="009C1394"/>
    <w:rsid w:val="009F30E5"/>
    <w:rsid w:val="009F50F3"/>
    <w:rsid w:val="009F6123"/>
    <w:rsid w:val="00A13600"/>
    <w:rsid w:val="00A2422C"/>
    <w:rsid w:val="00A27AD7"/>
    <w:rsid w:val="00A31568"/>
    <w:rsid w:val="00A34570"/>
    <w:rsid w:val="00A436CD"/>
    <w:rsid w:val="00A43DA3"/>
    <w:rsid w:val="00A456FB"/>
    <w:rsid w:val="00A53546"/>
    <w:rsid w:val="00A62D6B"/>
    <w:rsid w:val="00A86CD9"/>
    <w:rsid w:val="00A911DF"/>
    <w:rsid w:val="00A97995"/>
    <w:rsid w:val="00A97FF1"/>
    <w:rsid w:val="00AB0A50"/>
    <w:rsid w:val="00AB65AA"/>
    <w:rsid w:val="00AD7374"/>
    <w:rsid w:val="00AD7783"/>
    <w:rsid w:val="00AE15E3"/>
    <w:rsid w:val="00AF3E6D"/>
    <w:rsid w:val="00AF547C"/>
    <w:rsid w:val="00AF682B"/>
    <w:rsid w:val="00B03C32"/>
    <w:rsid w:val="00B04F81"/>
    <w:rsid w:val="00B07377"/>
    <w:rsid w:val="00B07861"/>
    <w:rsid w:val="00B07D75"/>
    <w:rsid w:val="00B20186"/>
    <w:rsid w:val="00B233EB"/>
    <w:rsid w:val="00B24B6C"/>
    <w:rsid w:val="00B32604"/>
    <w:rsid w:val="00B54086"/>
    <w:rsid w:val="00B7023A"/>
    <w:rsid w:val="00B7600E"/>
    <w:rsid w:val="00B86D62"/>
    <w:rsid w:val="00BA6AD9"/>
    <w:rsid w:val="00BD5141"/>
    <w:rsid w:val="00BD5C2F"/>
    <w:rsid w:val="00BE2C90"/>
    <w:rsid w:val="00BF654C"/>
    <w:rsid w:val="00C028F6"/>
    <w:rsid w:val="00C15D0E"/>
    <w:rsid w:val="00C379F0"/>
    <w:rsid w:val="00C430B5"/>
    <w:rsid w:val="00C57B0A"/>
    <w:rsid w:val="00C641BE"/>
    <w:rsid w:val="00C6513A"/>
    <w:rsid w:val="00C84842"/>
    <w:rsid w:val="00C95C26"/>
    <w:rsid w:val="00CA45CA"/>
    <w:rsid w:val="00CB0751"/>
    <w:rsid w:val="00CB5A0C"/>
    <w:rsid w:val="00CC074F"/>
    <w:rsid w:val="00CC2EC6"/>
    <w:rsid w:val="00CD4D00"/>
    <w:rsid w:val="00CD5443"/>
    <w:rsid w:val="00CD68FB"/>
    <w:rsid w:val="00CD6E60"/>
    <w:rsid w:val="00CE0FE9"/>
    <w:rsid w:val="00CE3025"/>
    <w:rsid w:val="00CF50DB"/>
    <w:rsid w:val="00D0264E"/>
    <w:rsid w:val="00D0316F"/>
    <w:rsid w:val="00D4029F"/>
    <w:rsid w:val="00D445BB"/>
    <w:rsid w:val="00D51903"/>
    <w:rsid w:val="00D559EA"/>
    <w:rsid w:val="00D61D65"/>
    <w:rsid w:val="00D65AD8"/>
    <w:rsid w:val="00D7319C"/>
    <w:rsid w:val="00D83CB1"/>
    <w:rsid w:val="00D84292"/>
    <w:rsid w:val="00D85CD8"/>
    <w:rsid w:val="00D85CEE"/>
    <w:rsid w:val="00DA0B1C"/>
    <w:rsid w:val="00DC4211"/>
    <w:rsid w:val="00DD1554"/>
    <w:rsid w:val="00DF0FB2"/>
    <w:rsid w:val="00E01C5A"/>
    <w:rsid w:val="00E11054"/>
    <w:rsid w:val="00E16DE2"/>
    <w:rsid w:val="00E21C76"/>
    <w:rsid w:val="00E33573"/>
    <w:rsid w:val="00E35223"/>
    <w:rsid w:val="00E46C4C"/>
    <w:rsid w:val="00E71018"/>
    <w:rsid w:val="00E7127B"/>
    <w:rsid w:val="00E85D58"/>
    <w:rsid w:val="00E90AAA"/>
    <w:rsid w:val="00E912D3"/>
    <w:rsid w:val="00EC01D8"/>
    <w:rsid w:val="00EF5E2C"/>
    <w:rsid w:val="00F07DC9"/>
    <w:rsid w:val="00F4141A"/>
    <w:rsid w:val="00FA5601"/>
    <w:rsid w:val="00FA6636"/>
    <w:rsid w:val="00FB370A"/>
    <w:rsid w:val="00FD5B53"/>
    <w:rsid w:val="00FE2695"/>
    <w:rsid w:val="00FE3182"/>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10721</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2024-05-29T14:02:56Z</dcterms:created>
  <dcterms:modified xsi:type="dcterms:W3CDTF">2024-05-29T14:02:56Z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26898/3/11289025v3</vt:lpwstr>
  </property>
</Properties>
</file>